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FI6GK7RYQ0VHGRGR8DLJZ7NM0OXYRQO0XBJDTXFM8TQCTZ0BRQCJXFSVHPBRRXUMXNOLKZHK78MXJQUFTDFFN8RFMWOLBBSODRHB39CD1C03356DA7A5423CF90F092AA2A49"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b/>
          <w:bCs/>
          <w:vanish w:val="0"/>
          <w:kern w:val="0"/>
          <w:sz w:val="24"/>
          <w:szCs w:val="24"/>
        </w:rPr>
      </w:pPr>
      <w:bookmarkStart w:id="32" w:name="_GoBack"/>
      <w:r>
        <w:rPr>
          <w:rFonts w:hint="eastAsia" w:ascii="方正黑体_GBK" w:hAnsi="方正黑体_GBK" w:eastAsia="方正黑体_GBK" w:cs="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vanish w:val="0"/>
          <w:color w:val="3D3D3D"/>
          <w:kern w:val="0"/>
          <w:sz w:val="18"/>
          <w:szCs w:val="18"/>
        </w:rPr>
      </w:pPr>
      <w:r>
        <w:rPr>
          <w:rFonts w:hint="eastAsia" w:ascii="方正黑体_GBK" w:hAnsi="方正黑体_GBK" w:eastAsia="方正黑体_GBK" w:cs="方正黑体_GBK"/>
          <w:b/>
          <w:bCs/>
          <w:i/>
          <w:iCs/>
          <w:vanish w:val="0"/>
          <w:kern w:val="0"/>
          <w:sz w:val="24"/>
          <w:szCs w:val="24"/>
          <w:u w:val="single"/>
        </w:rPr>
        <w:t>“理财非存款、产品有风险、投资须谨慎”！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本理财产品是</w:t>
      </w:r>
      <w:r>
        <w:rPr>
          <w:rFonts w:hint="eastAsia" w:ascii="方正黑体_GBK" w:hAnsi="方正黑体_GBK" w:eastAsia="方正黑体_GBK" w:cs="方正黑体_GBK"/>
          <w:b/>
          <w:bCs w:val="0"/>
          <w:i/>
          <w:iCs/>
          <w:vanish w:val="0"/>
          <w:color w:val="3D3D3D"/>
          <w:kern w:val="0"/>
          <w:sz w:val="20"/>
          <w:szCs w:val="20"/>
          <w:u w:val="single"/>
        </w:rPr>
        <w:t>开放式、固定收益类、公募、净值型</w:t>
      </w:r>
      <w:r>
        <w:rPr>
          <w:rFonts w:hint="eastAsia" w:ascii="方正黑体_GBK" w:hAnsi="方正黑体_GBK" w:eastAsia="方正黑体_GBK" w:cs="方正黑体_GBK"/>
          <w:b/>
          <w:bCs w:val="0"/>
          <w:vanish w:val="0"/>
          <w:color w:val="3D3D3D"/>
          <w:kern w:val="0"/>
          <w:sz w:val="13"/>
          <w:szCs w:val="13"/>
        </w:rPr>
        <w:t>理财产品，</w:t>
      </w:r>
      <w:r>
        <w:rPr>
          <w:rFonts w:hint="eastAsia" w:ascii="方正黑体_GBK" w:hAnsi="方正黑体_GBK" w:eastAsia="方正黑体_GBK" w:cs="方正黑体_GBK"/>
          <w:b/>
          <w:bCs w:val="0"/>
          <w:i/>
          <w:iCs/>
          <w:vanish w:val="0"/>
          <w:color w:val="3D3D3D"/>
          <w:kern w:val="0"/>
          <w:sz w:val="20"/>
          <w:szCs w:val="20"/>
          <w:u w:val="single"/>
        </w:rPr>
        <w:t>不保证本金和收益</w:t>
      </w:r>
      <w:r>
        <w:rPr>
          <w:rFonts w:hint="eastAsia" w:ascii="方正黑体_GBK" w:hAnsi="方正黑体_GBK" w:eastAsia="方正黑体_GBK" w:cs="方正黑体_GBK"/>
          <w:b/>
          <w:bCs w:val="0"/>
          <w:vanish w:val="0"/>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第一条 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（十五）操作风险：若管理人、销售机构、托管机构由于内部作业、人员管理及系统操作不当或失误，处理事务不当等，可能导致本理财产品的本金及收益遭受损失。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六）代销风险：本理财产品通过代销机构销售时，认购/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申购资金划转至南银理财，将导致投资者无法完成认购/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七）未知价风险：净值型产品采用“金额申购、份额赎回”原则，即产品认/申购以金额申请，赎回以份额申请，认/申购与赎回价格以“未知价原则”受理申请。“未知价原则”，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cs="方正黑体_GBK"/>
        </w:rPr>
      </w:pPr>
      <w:r>
        <w:rPr>
          <w:rFonts w:hint="eastAsia" w:ascii="方正黑体_GBK" w:hAnsi="方正黑体_GBK" w:eastAsia="方正黑体_GBK" w:cs="方正黑体_GBK"/>
          <w:vanish w:val="0"/>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sz w:val="13"/>
          <w:szCs w:val="13"/>
        </w:rPr>
        <w:t xml:space="preserve"> </w:t>
      </w:r>
      <w:r>
        <w:rPr>
          <w:rFonts w:hint="eastAsia" w:ascii="方正黑体_GBK" w:hAnsi="方正黑体_GBK" w:eastAsia="方正黑体_GBK" w:cs="方正黑体_GBK"/>
          <w:vanish w:val="0"/>
          <w:color w:val="3D3D3D"/>
          <w:kern w:val="0"/>
          <w:sz w:val="13"/>
          <w:szCs w:val="13"/>
        </w:rPr>
        <w:t>第二条 本理财产品特定风险揭示</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1.债券类资产投资风险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2.资产管理产品投资风险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w:t>
      </w:r>
      <w:r>
        <w:rPr>
          <w:rFonts w:hint="eastAsia" w:ascii="方正黑体_GBK" w:hAnsi="方正黑体_GBK" w:eastAsia="方正黑体_GBK" w:cs="方正黑体_GBK"/>
          <w:b/>
          <w:bCs/>
          <w:color w:val="3D3D3D"/>
          <w:kern w:val="0"/>
          <w:sz w:val="13"/>
          <w:szCs w:val="13"/>
        </w:rPr>
        <w:t>类型：开放式、固定收益类、公募、净值型。</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本理财产品期限为</w:t>
      </w:r>
      <w:r>
        <w:rPr>
          <w:rFonts w:hint="eastAsia" w:ascii="方正黑体_GBK" w:hAnsi="方正黑体_GBK" w:eastAsia="方正黑体_GBK" w:cs="方正黑体_GBK"/>
          <w:b/>
          <w:bCs/>
          <w:color w:val="3D3D3D"/>
          <w:kern w:val="0"/>
          <w:sz w:val="13"/>
          <w:szCs w:val="13"/>
        </w:rPr>
        <w:t>10年</w:t>
      </w:r>
      <w:r>
        <w:rPr>
          <w:rFonts w:hint="eastAsia" w:ascii="方正黑体_GBK" w:hAnsi="方正黑体_GBK" w:eastAsia="方正黑体_GBK" w:cs="方正黑体_GBK"/>
          <w:b/>
          <w:bCs w:val="0"/>
          <w:vanish w:val="0"/>
          <w:color w:val="3D3D3D"/>
          <w:kern w:val="0"/>
          <w:sz w:val="13"/>
          <w:szCs w:val="13"/>
        </w:rPr>
        <w:t>（若本理财产品被提前终止或延期终止，以实际到期日计算持有天数）。</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本理财产品风险评级结果：</w:t>
      </w:r>
      <w:r>
        <w:rPr>
          <w:rFonts w:hint="eastAsia" w:ascii="方正黑体_GBK" w:hAnsi="方正黑体_GBK" w:eastAsia="方正黑体_GBK" w:cs="方正黑体_GBK"/>
          <w:vanish w:val="0"/>
          <w:color w:val="3D3D3D"/>
          <w:kern w:val="0"/>
          <w:sz w:val="13"/>
          <w:szCs w:val="13"/>
        </w:rPr>
        <w:t>根据管理人内部风险评级，该产品风险等级为</w:t>
      </w:r>
      <w:r>
        <w:rPr>
          <w:rFonts w:hint="eastAsia" w:ascii="方正黑体_GBK" w:hAnsi="方正黑体_GBK" w:eastAsia="方正黑体_GBK" w:cs="方正黑体_GBK"/>
          <w:b/>
          <w:bCs w:val="0"/>
          <w:vanish w:val="0"/>
          <w:color w:val="3D3D3D"/>
          <w:kern w:val="0"/>
          <w:sz w:val="13"/>
          <w:szCs w:val="13"/>
        </w:rPr>
        <w:t>中低风险</w:t>
      </w:r>
      <w:r>
        <w:rPr>
          <w:rFonts w:hint="eastAsia" w:ascii="方正黑体_GBK" w:hAnsi="方正黑体_GBK" w:eastAsia="方正黑体_GBK" w:cs="方正黑体_GBK"/>
          <w:vanish w:val="0"/>
          <w:color w:val="3D3D3D"/>
          <w:kern w:val="0"/>
          <w:sz w:val="13"/>
          <w:szCs w:val="13"/>
        </w:rPr>
        <w:t>。</w:t>
      </w:r>
      <w:r>
        <w:rPr>
          <w:rFonts w:hint="eastAsia" w:ascii="方正黑体_GBK" w:hAnsi="方正黑体_GBK" w:eastAsia="方正黑体_GBK" w:cs="方正黑体_GBK"/>
          <w:b/>
          <w:bCs w:val="0"/>
          <w:vanish w:val="0"/>
          <w:color w:val="3D3D3D"/>
          <w:kern w:val="0"/>
          <w:sz w:val="13"/>
          <w:szCs w:val="13"/>
        </w:rPr>
        <w:t xml:space="preserve"> </w:t>
      </w:r>
      <w:r>
        <w:rPr>
          <w:rFonts w:hint="eastAsia" w:ascii="方正黑体_GBK" w:hAnsi="方正黑体_GBK" w:eastAsia="方正黑体_GBK" w:cs="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cs="方正黑体_GBK"/>
          <w:vanish w:val="0"/>
          <w:color w:val="3D3D3D"/>
          <w:kern w:val="0"/>
          <w:sz w:val="13"/>
          <w:szCs w:val="13"/>
        </w:rPr>
        <w:t>。</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本风险等级为南银理财风险评级结果，该产品通过代理销售机构渠道销售的，理财产品评级应当以代理销售机构最终披露的评级结果为准。</w:t>
      </w:r>
      <w:r>
        <w:rPr>
          <w:rFonts w:hint="eastAsia" w:ascii="方正黑体_GBK" w:hAnsi="方正黑体_GBK" w:eastAsia="方正黑体_GBK" w:cs="方正黑体_GBK"/>
          <w:vanish w:val="0"/>
          <w:color w:val="3D3D3D"/>
          <w:kern w:val="0"/>
          <w:sz w:val="13"/>
          <w:szCs w:val="13"/>
        </w:rPr>
        <w:t>您需充分认识投资风险，谨慎投资。</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1" w:firstLineChars="20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适合购买本理财产品的投资者：</w:t>
      </w:r>
      <w:r>
        <w:rPr>
          <w:rFonts w:hint="eastAsia" w:ascii="方正黑体_GBK" w:hAnsi="方正黑体_GBK" w:eastAsia="方正黑体_GBK" w:cs="方正黑体_GBK"/>
          <w:vanish w:val="0"/>
          <w:color w:val="3D3D3D"/>
          <w:kern w:val="0"/>
          <w:sz w:val="13"/>
          <w:szCs w:val="13"/>
        </w:rPr>
        <w:t>符合相关法律法规、监管规定要求的，经销售机构的风险承受能力评估体系评定为适合的个人和机构投资者</w:t>
      </w:r>
      <w:r>
        <w:rPr>
          <w:rFonts w:hint="eastAsia" w:ascii="方正黑体_GBK" w:hAnsi="方正黑体_GBK" w:eastAsia="方正黑体_GBK" w:cs="方正黑体_GBK"/>
          <w:b/>
          <w:bCs/>
          <w:vanish w:val="0"/>
          <w:color w:val="3D3D3D"/>
          <w:kern w:val="0"/>
          <w:sz w:val="13"/>
          <w:szCs w:val="13"/>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vanish w:val="0"/>
          <w:kern w:val="2"/>
          <w:sz w:val="21"/>
          <w:szCs w:val="21"/>
        </w:rPr>
      </w:pPr>
      <w:r>
        <w:rPr>
          <w:rFonts w:hint="eastAsia" w:ascii="方正黑体_GBK" w:hAnsi="方正黑体_GBK" w:eastAsia="方正黑体_GBK" w:cs="方正黑体_GBK"/>
          <w:b/>
          <w:bCs/>
          <w:vanish w:val="0"/>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0，即投资者面临全部本金的损失。为保证当期理财投资者权益而产生的费用由当期理财产品承担。</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示例：如投资者购买本理财产品，本金为1万元，在理财产品资产组合项下资产全部亏损的最不利情况下，理财产品1万元本金将全部损失。</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l="0"/>
          <w:vanish w:val="0"/>
          <w:color w:val="3D3D3D"/>
          <w:kern w:val="0"/>
          <w:sz w:val="13"/>
          <w:szCs w:val="13"/>
        </w:rPr>
      </w:pP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上述风险客观存在，敬请投资者予以充分关注！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p>
    <w:p>
      <w:pPr>
        <w:pStyle w:val="33"/>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cs="方正黑体_GBK"/>
          <w:b/>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1.</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购买本理财产品为本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真实的意思表示,并认为该理财产品完全适合本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的投资目标、投资预期以及风险承受能力，本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自愿承担由此带来的一切后果。本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确认南银理财/销售机构相关业务人员对于理财产品销售文件中限制或排除本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权利、增加或加重本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2.</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确认，将向本理财产品销售机构真实提供信息，自主作出认购/申购/赎回等决定，自主承担投资风险。本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相应的后果和责任，并有权拒绝向本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3.</w:t>
      </w:r>
      <w:r>
        <w:rPr>
          <w:rFonts w:hint="eastAsia" w:ascii="方正黑体_GBK" w:hAnsi="方正黑体_GBK" w:eastAsia="方正黑体_GBK" w:cs="方正黑体_GBK"/>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4.</w:t>
      </w:r>
      <w:r>
        <w:rPr>
          <w:rFonts w:hint="eastAsia" w:ascii="方正黑体_GBK" w:hAnsi="方正黑体_GBK" w:eastAsia="方正黑体_GBK" w:cs="方正黑体_GBK"/>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5.</w:t>
      </w:r>
      <w:r>
        <w:rPr>
          <w:rFonts w:hint="eastAsia" w:ascii="方正黑体_GBK" w:hAnsi="方正黑体_GBK" w:eastAsia="方正黑体_GBK" w:cs="方正黑体_GBK"/>
          <w:b/>
          <w:bCs w:val="0"/>
          <w:vanish w:val="0"/>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6.</w:t>
      </w:r>
      <w:r>
        <w:rPr>
          <w:rFonts w:hint="eastAsia" w:ascii="方正黑体_GBK" w:hAnsi="方正黑体_GBK" w:eastAsia="方正黑体_GBK" w:cs="方正黑体_GBK"/>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7.</w:t>
      </w:r>
      <w:r>
        <w:rPr>
          <w:rFonts w:hint="eastAsia" w:ascii="方正黑体_GBK" w:hAnsi="方正黑体_GBK" w:eastAsia="方正黑体_GBK" w:cs="方正黑体_GBK"/>
          <w:b/>
          <w:bCs w:val="0"/>
          <w:vanish w:val="0"/>
          <w:color w:val="3D3D3D"/>
          <w:kern w:val="0"/>
          <w:sz w:val="15"/>
          <w:szCs w:val="15"/>
          <w:u w:val="single"/>
        </w:rPr>
        <w:t>如销售机构为管理人关联方的，本投资者认可此等关联方及关联交易情形的存在并自愿承担相关投资风险。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vanish w:val="0"/>
          <w:color w:val="3D3D3D"/>
          <w:kern w:val="0"/>
          <w:sz w:val="15"/>
          <w:szCs w:val="15"/>
          <w:u w:val="single"/>
        </w:rPr>
      </w:pPr>
      <w:r>
        <w:rPr>
          <w:rFonts w:hint="eastAsia" w:ascii="方正黑体_GBK" w:hAnsi="方正黑体_GBK" w:eastAsia="方正黑体_GBK" w:cs="方正黑体_GBK"/>
          <w:vanish w:val="0"/>
          <w:color w:val="3D3D3D"/>
          <w:kern w:val="0"/>
          <w:sz w:val="15"/>
          <w:szCs w:val="15"/>
        </w:rPr>
        <w:t>8.以下划线部分，请投资者抄录确认：“</w:t>
      </w:r>
      <w:r>
        <w:rPr>
          <w:rFonts w:hint="eastAsia" w:ascii="方正黑体_GBK" w:hAnsi="方正黑体_GBK" w:eastAsia="方正黑体_GBK" w:cs="方正黑体_GBK"/>
          <w:b/>
          <w:bCs w:val="0"/>
          <w:vanish w:val="0"/>
          <w:color w:val="3D3D3D"/>
          <w:kern w:val="0"/>
          <w:sz w:val="15"/>
          <w:szCs w:val="15"/>
          <w:u w:val="single"/>
        </w:rPr>
        <w:t>本人已经阅读风险揭示，愿意承担投资风险</w:t>
      </w:r>
      <w:r>
        <w:rPr>
          <w:rFonts w:hint="eastAsia" w:ascii="方正黑体_GBK" w:hAnsi="方正黑体_GBK" w:eastAsia="方正黑体_GBK" w:cs="方正黑体_GBK"/>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投资者抄录：</w:t>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tbl>
      <w:tblPr>
        <w:tblStyle w:val="1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b/>
                <w:bCs w:val="0"/>
                <w:vanish w:val="0"/>
                <w:kern w:val="2"/>
                <w:sz w:val="15"/>
                <w:szCs w:val="15"/>
              </w:rPr>
            </w:pPr>
            <w:r>
              <w:rPr>
                <w:rFonts w:hint="eastAsia" w:ascii="方正黑体_GBK" w:hAnsi="方正黑体_GBK" w:eastAsia="方正黑体_GBK" w:cs="方正黑体_GBK"/>
                <w:b/>
                <w:bCs w:val="0"/>
                <w:vanish w:val="0"/>
                <w:kern w:val="2"/>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 xml:space="preserve">法定代表人或授权代理人（签名或盖章）： </w:t>
            </w:r>
            <w:r>
              <w:rPr>
                <w:rFonts w:hint="eastAsia" w:ascii="方正黑体_GBK" w:hAnsi="方正黑体_GBK" w:eastAsia="方正黑体_GBK" w:cs="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auto"/>
                <w:kern w:val="2"/>
                <w:sz w:val="15"/>
                <w:szCs w:val="15"/>
              </w:rPr>
              <w:t>电子渠道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1" w:firstLineChars="2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l="0"/>
                <w:vanish w:val="0"/>
                <w:color w:val="3D3D3D"/>
                <w:kern w:val="0"/>
                <w:sz w:val="15"/>
                <w:szCs w:val="15"/>
                <w:u w:val="single"/>
              </w:rPr>
              <w:t>如投资者通过电子渠道（包括但不限于网上银行、手机银行或官方网站等）购买本理财产品的，</w:t>
            </w:r>
            <w:r>
              <w:rPr>
                <w:rFonts w:hint="eastAsia" w:ascii="方正黑体_GBK" w:hAnsi="方正黑体_GBK" w:eastAsia="方正黑体_GBK" w:cs="方正黑体_GBK"/>
                <w:vanish w:val="0"/>
                <w:spacing w:val="10"/>
                <w:kern w:val="2"/>
                <w:sz w:val="15"/>
                <w:szCs w:val="15"/>
              </w:rPr>
              <w:t>本风险揭示书以数据电文形式订立，</w:t>
            </w:r>
            <w:r>
              <w:rPr>
                <w:rFonts w:hint="eastAsia" w:ascii="方正黑体_GBK" w:hAnsi="方正黑体_GBK" w:eastAsia="方正黑体_GBK" w:cs="方正黑体_GBK"/>
                <w:b/>
                <w:bCs w:val="0"/>
                <w:vanish w:val="0"/>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ascii="方正黑体_GBK" w:hAnsi="方正黑体_GBK" w:eastAsia="方正黑体_GBK" w:cs="方正黑体_GBK"/>
                <w:vanish w:val="0"/>
                <w:spacing w:val="10"/>
                <w:kern w:val="2"/>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pPr>
        <w:rPr>
          <w:rFonts w:hint="eastAsia" w:ascii="方正黑体_GBK" w:hAnsi="方正黑体_GBK" w:eastAsia="方正黑体_GBK" w:cs="方正黑体_GBK"/>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rPr>
          <w:rFonts w:hint="eastAsia" w:ascii="方正黑体_GBK" w:hAnsi="方正黑体_GBK" w:eastAsia="方正黑体_GBK" w:cs="方正黑体_GBK"/>
          <w:b/>
          <w:bCs/>
          <w:caps w:val="0"/>
          <w:smallCaps w:val="0"/>
          <w:snapToGrid/>
          <w:vanish w:val="0"/>
          <w:color w:val="auto"/>
          <w:kern w:val="0"/>
          <w:sz w:val="24"/>
          <w:szCs w:val="15"/>
          <w:vertAlign w:val="baseline"/>
        </w:rPr>
      </w:pPr>
      <w:r>
        <w:rPr>
          <w:rFonts w:hint="eastAsia" w:ascii="方正黑体_GBK" w:hAnsi="方正黑体_GBK" w:eastAsia="方正黑体_GBK" w:cs="方正黑体_GBK"/>
          <w:b/>
          <w:bCs/>
          <w:caps w:val="0"/>
          <w:smallCaps w:val="0"/>
          <w:snapToGrid/>
          <w:vanish w:val="0"/>
          <w:color w:val="auto"/>
          <w:kern w:val="0"/>
          <w:sz w:val="24"/>
          <w:szCs w:val="15"/>
          <w:vertAlign w:val="baseli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caps w:val="0"/>
          <w:smallCaps w:val="0"/>
          <w:snapToGrid/>
          <w:vanish w:val="0"/>
          <w:color w:val="auto"/>
          <w:kern w:val="0"/>
          <w:sz w:val="24"/>
          <w:szCs w:val="24"/>
          <w:vertAlign w:val="baseline"/>
        </w:rPr>
      </w:pPr>
      <w:r>
        <w:rPr>
          <w:rFonts w:hint="eastAsia" w:ascii="方正黑体_GBK" w:hAnsi="方正黑体_GBK" w:eastAsia="方正黑体_GBK" w:cs="方正黑体_GBK"/>
          <w:b/>
          <w:bCs/>
          <w:caps w:val="0"/>
          <w:smallCaps w:val="0"/>
          <w:snapToGrid/>
          <w:vanish w:val="0"/>
          <w:color w:val="auto"/>
          <w:kern w:val="0"/>
          <w:sz w:val="24"/>
          <w:szCs w:val="24"/>
          <w:vertAlign w:val="baseline"/>
        </w:rPr>
        <w:t>理财产品说明书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pPr>
      <w:r>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t>“理财非存款、产品有风险、投资须谨慎”！</w:t>
      </w:r>
    </w:p>
    <w:p>
      <w:pPr>
        <w:pStyle w:val="15"/>
        <w:keepNext w:val="0"/>
        <w:keepLines w:val="0"/>
        <w:pageBreakBefore w:val="0"/>
        <w:widowControl/>
        <w:suppressLineNumbers w:val="0"/>
        <w:suppressAutoHyphens w:val="0"/>
        <w:spacing w:line="200" w:lineRule="exact"/>
        <w:ind w:firstLine="0"/>
        <w:jc w:val="both"/>
        <w:textAlignment w:val="baseline"/>
        <w:rPr>
          <w:rFonts w:hint="eastAsia" w:ascii="方正黑体_GBK" w:hAnsi="方正黑体_GBK" w:eastAsia="方正黑体_GBK" w:cs="方正黑体_GBK"/>
          <w:b/>
          <w:bCs w:val="0"/>
          <w:caps w:val="0"/>
          <w:smallCaps w:val="0"/>
          <w:snapToGrid/>
          <w:vanish w:val="0"/>
          <w:color w:val="3D3D3D"/>
          <w:kern w:val="0"/>
          <w:sz w:val="15"/>
          <w:szCs w:val="15"/>
          <w:vertAlign w:val="baseline"/>
        </w:rPr>
      </w:pPr>
      <w:r>
        <w:rPr>
          <w:rFonts w:hint="eastAsia" w:ascii="方正黑体_GBK" w:hAnsi="方正黑体_GBK" w:eastAsia="方正黑体_GBK" w:cs="方正黑体_GBK"/>
          <w:b/>
          <w:bCs w:val="0"/>
          <w:caps w:val="0"/>
          <w:smallCaps w:val="0"/>
          <w:snapToGrid/>
          <w:vanish w:val="0"/>
          <w:color w:val="3D3D3D"/>
          <w:kern w:val="0"/>
          <w:sz w:val="15"/>
          <w:szCs w:val="15"/>
          <w:vertAlign w:val="baseline"/>
        </w:rPr>
        <w:t>第一条  产品基本要素</w:t>
      </w:r>
    </w:p>
    <w:tbl>
      <w:tblPr>
        <w:tblStyle w:val="16"/>
        <w:tblW w:w="1029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348"/>
        <w:gridCol w:w="795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产品名称</w:t>
            </w:r>
          </w:p>
        </w:tc>
        <w:tc>
          <w:tcPr>
            <w:tcW w:w="7951"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南银理财鼎瑞悦稳（最低持有14天）公募人民币理财产品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产品类型</w:t>
            </w:r>
          </w:p>
        </w:tc>
        <w:tc>
          <w:tcPr>
            <w:tcW w:w="79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开放式、固定收益类、公募、净值型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募集方式</w:t>
            </w:r>
          </w:p>
        </w:tc>
        <w:tc>
          <w:tcPr>
            <w:tcW w:w="79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理财产品代码</w:t>
            </w:r>
          </w:p>
        </w:tc>
        <w:tc>
          <w:tcPr>
            <w:tcW w:w="7951"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ZZ700322302141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产品登记编码</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Z7003223000182(投资者可依据该编码在中国理财网www.chinawealth.com.cn查询理财产品相关信息）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内部销售代码</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A份额：A32014</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B份额：A32015</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C份额：A32016</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注：本产品不同份额针对不同的销售机构及客群进行销售，具体客群划分标准以销售机构为准。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理财期限</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textAlignment w:val="center"/>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rPr>
              <w:t>10年</w:t>
            </w:r>
            <w:r>
              <w:rPr>
                <w:rFonts w:hint="eastAsia" w:ascii="方正黑体_GBK" w:hAnsi="方正黑体_GBK" w:eastAsia="方正黑体_GBK" w:cs="方正黑体_GBK"/>
                <w:kern w:val="0"/>
                <w:lang w:val="en-US" w:eastAsia="zh-CN"/>
              </w:rPr>
              <w:t>（管理人有权提前终止或延期终止）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销售区域</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币种</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kern w:val="0"/>
                <w:sz w:val="18"/>
                <w:szCs w:val="18"/>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产品规模</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本理财产品规模上限为1000亿元。理财产品管理人有权对上述规模上限根据实际业务需求进行调整。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风险等级</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根据理财产品管理人对理财产品的内部风险评估，本理财产品风险等级为中低风险（本风险等级为管理人内部风险评估结果，仅供参考）。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发行对象</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符合相关法律法规、监管规定要求的，经销售机构的风险承受能力评估体系评定为适合的个人和机构投资者。</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A份额：A32014-以下代销机构客户：南京银行股份有限公司</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B份额：A32015-南银理财直销客户；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C份额：A32016-以下代销机构客户：浙江网商银行股份有限公司、齐鲁银行股份有限公司、天津农村商业银行股份有限公司。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投资起点金额、递增金额</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个人投资者起点金额1元人民币，以1元的整数倍递增；</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机构投资者起点金额1元人民币，以1元的整数倍递增；</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后续在符合监管政策规定的条件下，理财产品管理人有权对上述投资起点金额和递增金额进行调整,并在调整日前至少3个工作日进行信息披露。</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单个投资者持有金额上限</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个人投资者：最高持有金额1亿；</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机构投资者：最高持有金额1亿；</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注：1.管理人有权对上述单个投资者持有金额上限进行调整或取消，并在调整或取消前至少3个工作日公告。</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单一投资者持有比例上限</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非因管理人主观因素导致突破上述50%比例限制的，在单一投资者持有比例降至50%以下之前，管理人不再接受该投资者对本理财产品的认申购申请。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单日单户赎回份额上限</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lang w:val="en-US" w:eastAsia="zh-CN"/>
              </w:rPr>
            </w:pPr>
            <w:r>
              <w:rPr>
                <w:rFonts w:hint="eastAsia" w:ascii="方正黑体_GBK" w:hAnsi="方正黑体_GBK" w:eastAsia="方正黑体_GBK" w:cs="方正黑体_GBK"/>
                <w:color w:val="auto"/>
                <w:kern w:val="0"/>
                <w:sz w:val="18"/>
                <w:szCs w:val="18"/>
                <w:highlight w:val="none"/>
                <w:lang w:val="en-US" w:eastAsia="zh-CN"/>
              </w:rPr>
              <w:t>单日单户赎回份额上限，是指单个投资者在最近一个产品开放日15：30（不含）至下一产品开放日15：30（含）之间发起的净赎回总份额上限。</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个人投资者单日单户赎回份额上限：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机构投资者单日单户赎回份额上限：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注：1.管理人有权对上述</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进行调整或取消，并在调整或取消前至少3个工作日公告。</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auto"/>
                <w:kern w:val="0"/>
                <w:sz w:val="18"/>
                <w:szCs w:val="18"/>
                <w:highlight w:val="none"/>
                <w:vertAlign w:val="baseline"/>
                <w:lang w:val="en-US" w:eastAsia="zh-CN"/>
              </w:rPr>
              <w:t>2.</w:t>
            </w:r>
            <w:r>
              <w:rPr>
                <w:rFonts w:hint="eastAsia" w:ascii="方正黑体_GBK" w:hAnsi="方正黑体_GBK" w:eastAsia="方正黑体_GBK" w:cs="方正黑体_GBK"/>
                <w:color w:val="auto"/>
                <w:kern w:val="0"/>
                <w:sz w:val="18"/>
                <w:szCs w:val="18"/>
                <w:highlight w:val="none"/>
                <w:vertAlign w:val="baseline"/>
                <w:lang w:eastAsia="zh-CN"/>
              </w:rPr>
              <w:t>当投资者发起的最近一笔赎回申请将导致投资者单日净赎回本理财产品的份额超过</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时，销售机构或管理人有权在赎回时或确认时拒绝投资者该笔赎回申请，投资者需重新进行资金安排。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募集期</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2023年09月05日 09:00—2023年09月11日 15:30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认购份额计算</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认购确认日</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产品成立日</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hint="eastAsia" w:ascii="方正黑体_GBK" w:hAnsi="方正黑体_GBK" w:eastAsia="方正黑体_GBK" w:cs="方正黑体_GBK"/>
              </w:rPr>
            </w:pPr>
            <w:r>
              <w:rPr>
                <w:rFonts w:hint="eastAsia" w:ascii="方正黑体_GBK" w:hAnsi="方正黑体_GBK" w:eastAsia="方正黑体_GBK" w:cs="方正黑体_GBK"/>
                <w:kern w:val="0"/>
                <w:sz w:val="18"/>
                <w:szCs w:val="18"/>
              </w:rPr>
              <w:t>2023年09月12日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产品存续期</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2023年09月12日—实际到期日（若本理财产品未被提前终止或延期终止，则实际到期日即为名义到期日，存续期限10年；若本理财产品被提前终止或延期终止，则实际到期日为提前终止日或延期终止日。</w:t>
            </w:r>
            <w:r>
              <w:rPr>
                <w:rFonts w:hint="eastAsia" w:ascii="方正黑体_GBK" w:hAnsi="方正黑体_GBK" w:eastAsia="方正黑体_GBK" w:cs="方正黑体_GBK"/>
                <w:b/>
                <w:sz w:val="18"/>
              </w:rPr>
              <w:t>理财产品管理人有权根据市场变化情况调整产品存续期，届时管理人将调整相关日期并进行信息披露。）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名义到期日</w:t>
            </w:r>
          </w:p>
        </w:tc>
        <w:tc>
          <w:tcPr>
            <w:tcW w:w="795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2033年09月30日</w:t>
            </w:r>
            <w:r>
              <w:rPr>
                <w:rFonts w:hint="eastAsia" w:ascii="方正黑体_GBK" w:hAnsi="方正黑体_GBK" w:eastAsia="方正黑体_GBK" w:cs="方正黑体_GBK"/>
                <w:b/>
                <w:bCs/>
                <w:caps w:val="0"/>
                <w:smallCaps w:val="0"/>
                <w:snapToGrid/>
                <w:vanish w:val="0"/>
                <w:color w:val="auto"/>
                <w:kern w:val="0"/>
                <w:sz w:val="18"/>
                <w:szCs w:val="18"/>
                <w:vertAlign w:val="baseline"/>
              </w:rPr>
              <w:t>（如遇国家法定节假日，管理人可结合国家法定节假日安排进行调整，并进行信息披露）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理财封闭期</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本理财产品募集成立后封闭运作13天（2023年09月12日-2023年09月24日），封闭期内不接受任何申购/赎回申请。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注：产品成立后因开户等原因可能会导致短期内无法进行部分资产的投资运作，为减轻因此对投资者收益的影响，故设置封闭期。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rPr>
                <w:rFonts w:hint="eastAsia" w:ascii="方正黑体_GBK" w:hAnsi="方正黑体_GBK" w:eastAsia="方正黑体_GBK" w:cs="方正黑体_GBK"/>
                <w:snapToGrid/>
                <w:vanish w:val="0"/>
              </w:rPr>
            </w:pPr>
            <w:r>
              <w:rPr>
                <w:rFonts w:hint="eastAsia" w:ascii="方正黑体_GBK" w:hAnsi="方正黑体_GBK" w:eastAsia="方正黑体_GBK" w:cs="方正黑体_GBK"/>
                <w:caps w:val="0"/>
                <w:smallCaps w:val="0"/>
                <w:snapToGrid/>
                <w:vanish w:val="0"/>
                <w:color w:val="auto"/>
                <w:spacing w:val="0"/>
                <w:kern w:val="0"/>
                <w:sz w:val="18"/>
                <w:szCs w:val="18"/>
                <w:vertAlign w:val="baseline"/>
              </w:rPr>
              <w:t>产品开放日</w:t>
            </w:r>
          </w:p>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aps w:val="0"/>
                <w:smallCaps w:val="0"/>
                <w:snapToGrid/>
                <w:vanish w:val="0"/>
                <w:color w:val="auto"/>
                <w:kern w:val="0"/>
                <w:sz w:val="18"/>
                <w:szCs w:val="18"/>
                <w:vertAlign w:val="baseline"/>
              </w:rPr>
            </w:pPr>
          </w:p>
        </w:tc>
        <w:tc>
          <w:tcPr>
            <w:tcW w:w="7951" w:type="dxa"/>
            <w:tcBorders>
              <w:top w:val="single" w:color="auto" w:sz="4" w:space="0"/>
              <w:left w:val="nil"/>
              <w:bottom w:val="single" w:color="auto" w:sz="4" w:space="0"/>
              <w:right w:val="single" w:color="auto" w:sz="4" w:space="0"/>
              <w:tl2br w:val="nil"/>
              <w:tr2bl w:val="nil"/>
            </w:tcBorders>
            <w:vAlign w:val="center"/>
          </w:tcPr>
          <w:p>
            <w:pPr>
              <w:ind w:left="0" w:firstLine="0"/>
              <w:rPr>
                <w:rFonts w:hint="eastAsia" w:ascii="方正黑体_GBK" w:hAnsi="方正黑体_GBK" w:eastAsia="方正黑体_GBK" w:cs="方正黑体_GBK"/>
                <w:b/>
                <w:sz w:val="18"/>
              </w:rPr>
            </w:pPr>
            <w:r>
              <w:rPr>
                <w:rFonts w:hint="eastAsia" w:ascii="方正黑体_GBK" w:hAnsi="方正黑体_GBK" w:eastAsia="方正黑体_GBK" w:cs="方正黑体_GBK"/>
                <w:caps w:val="0"/>
                <w:smallCaps w:val="0"/>
                <w:snapToGrid/>
                <w:vanish w:val="0"/>
                <w:color w:val="auto"/>
                <w:spacing w:val="0"/>
                <w:kern w:val="2"/>
                <w:sz w:val="18"/>
                <w:szCs w:val="18"/>
                <w:vertAlign w:val="baseline"/>
              </w:rPr>
              <w:t>产品存续期内每周一至周五（指工作日），但不包括国家法定节假日、休息日和南银理财公告暂停开放的日期。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申购规则</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产品开放日15:30（含）前的申购于当日受理，其他时间的申购于下一产品开放日受理。</w:t>
            </w:r>
            <w:r>
              <w:rPr>
                <w:rFonts w:hint="eastAsia" w:ascii="方正黑体_GBK" w:hAnsi="方正黑体_GBK" w:eastAsia="方正黑体_GBK" w:cs="方正黑体_GBK"/>
                <w:sz w:val="18"/>
              </w:rPr>
              <w:t>上述申购规则如下（系统批处理时间内无法操作）：</w:t>
            </w:r>
          </w:p>
          <w:tbl>
            <w:tblPr>
              <w:tblStyle w:val="1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041"/>
              <w:gridCol w:w="1625"/>
              <w:gridCol w:w="24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041"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申购时间</w:t>
                  </w:r>
                </w:p>
              </w:tc>
              <w:tc>
                <w:tcPr>
                  <w:tcW w:w="1625"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w:t>
                  </w:r>
                </w:p>
              </w:tc>
              <w:tc>
                <w:tcPr>
                  <w:tcW w:w="2437"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份额运作起始日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041"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产品开放日：0:00-15:30（含）</w:t>
                  </w:r>
                </w:p>
              </w:tc>
              <w:tc>
                <w:tcPr>
                  <w:tcW w:w="1625"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2437"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041"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产品开放日：15:30（不含）-24:00或非产品开放日</w:t>
                  </w:r>
                </w:p>
              </w:tc>
              <w:tc>
                <w:tcPr>
                  <w:tcW w:w="1625"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2437"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bl>
          <w:p>
            <w:pPr>
              <w:spacing w:line="200" w:lineRule="exact"/>
              <w:rPr>
                <w:rFonts w:hint="eastAsia" w:ascii="方正黑体_GBK" w:hAnsi="方正黑体_GBK" w:eastAsia="方正黑体_GBK" w:cs="方正黑体_GBK"/>
              </w:rPr>
            </w:pP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r>
              <w:rPr>
                <w:rFonts w:hint="eastAsia" w:ascii="方正黑体_GBK" w:hAnsi="方正黑体_GBK" w:eastAsia="方正黑体_GBK" w:cs="方正黑体_GBK"/>
                <w:sz w:val="18"/>
              </w:rPr>
              <w:t>：</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1.申购受理日15:30（含）前可以撤销申购申请。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申购份额计算</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申购份额=申购金额/申购确认日产品单位净值（申购确认日为申购受理日当日）</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（申购份额按去尾法保留两位小数）。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赎回规则</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持有期14天以内的份额不可提出赎回申请。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满14天及以上的份额可在之后的每个产品开放日提出赎回申请，非巨额赎回时，产品开放日15:30（含）前的赎回于当日受理，其他时间的赎回于下一产品开放日受理，赎回款项将于份额运作终止日后5个工作日内到账</w:t>
            </w:r>
            <w:r>
              <w:rPr>
                <w:rFonts w:hint="eastAsia" w:ascii="方正黑体_GBK" w:hAnsi="方正黑体_GBK" w:eastAsia="方正黑体_GBK" w:cs="方正黑体_GBK"/>
                <w:sz w:val="18"/>
              </w:rPr>
              <w:t>。上述赎回规则如下（系统批处理时间内无法操作）：</w:t>
            </w:r>
          </w:p>
          <w:tbl>
            <w:tblPr>
              <w:tblStyle w:val="1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03"/>
              <w:gridCol w:w="1550"/>
              <w:gridCol w:w="1488"/>
              <w:gridCol w:w="1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03"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赎回时间</w:t>
                  </w:r>
                </w:p>
              </w:tc>
              <w:tc>
                <w:tcPr>
                  <w:tcW w:w="1550"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w:t>
                  </w:r>
                </w:p>
              </w:tc>
              <w:tc>
                <w:tcPr>
                  <w:tcW w:w="1488"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w:t>
                  </w:r>
                </w:p>
              </w:tc>
              <w:tc>
                <w:tcPr>
                  <w:tcW w:w="1350"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资金到账日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03"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份额持有满14天后的产品开放日：0:00-15:30（含）</w:t>
                  </w:r>
                </w:p>
              </w:tc>
              <w:tc>
                <w:tcPr>
                  <w:tcW w:w="1550"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1488"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350" w:type="dxa"/>
                  <w:vMerge w:val="restart"/>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份额运作终止日后5个工作日内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03"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份额持有满14天后的产品开放日：15:30（不含）-24:00或非产品开放日</w:t>
                  </w:r>
                </w:p>
              </w:tc>
              <w:tc>
                <w:tcPr>
                  <w:tcW w:w="1550"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1488" w:type="dxa"/>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350" w:type="dxa"/>
                  <w:vMerge w:val="continue"/>
                </w:tcPr>
                <w:p>
                  <w:pPr>
                    <w:rPr>
                      <w:rFonts w:hint="eastAsia" w:ascii="方正黑体_GBK" w:hAnsi="方正黑体_GBK" w:eastAsia="方正黑体_GBK" w:cs="方正黑体_GBK"/>
                    </w:rPr>
                  </w:pPr>
                </w:p>
              </w:tc>
            </w:tr>
          </w:tbl>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1.</w:t>
            </w:r>
            <w:r>
              <w:rPr>
                <w:rFonts w:hint="eastAsia" w:ascii="方正黑体_GBK" w:hAnsi="方正黑体_GBK" w:eastAsia="方正黑体_GBK" w:cs="方正黑体_GBK"/>
                <w:b/>
                <w:sz w:val="18"/>
              </w:rPr>
              <w:t>如投资者多次认申购本理财产品，其中持有满14天及以上的份额可提出赎回申请，持有期14天以内的份额不可提出赎回申请。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w:t>
            </w:r>
            <w:r>
              <w:rPr>
                <w:rFonts w:hint="eastAsia" w:ascii="方正黑体_GBK" w:hAnsi="方正黑体_GBK" w:eastAsia="方正黑体_GBK" w:cs="方正黑体_GBK"/>
                <w:b/>
                <w:sz w:val="18"/>
              </w:rPr>
              <w:t>单个投资者的赎回遵循“先进先出”原则，即单个投资者先认/申购的份额先被赎回。</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3.赎回受理日15:30（含）前可以撤销赎回申请。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4.</w:t>
            </w:r>
            <w:r>
              <w:rPr>
                <w:rFonts w:hint="eastAsia" w:ascii="方正黑体_GBK" w:hAnsi="方正黑体_GBK" w:eastAsia="方正黑体_GBK" w:cs="方正黑体_GBK"/>
                <w:sz w:val="18"/>
              </w:rPr>
              <w:t>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5.份额运作终止日至资金到账日间赎回款项不计任何收益。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赎回金额计算</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赎回金额=赎回份额×赎回确认日产品单位净值（赎回确认日为赎回受理日当日）</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（赎回金额按去尾法保留两位小数）</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产品的赎回费、业绩报酬等费用（如有）将从赎回金额中扣除。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份额最低持有期</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14天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（认购份额从成立日起最低持有期为14天，2023年09月24日及之前不可提出赎回申请；申购份额从份额运作起始日起最低持有期为14天，14天以内不可提出赎回申请。）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收益分配</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当理财产品单位净值不低于1时，管理人可以根据实际情况进行收益分配，分配方式为现金分红，具体分配方案以信息披露为准（分配后理财产品净值不低于1）。</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资金到账日</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分红权益登记日指管理人确认投资者所持份额是否享受本次分红的日期。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投资范围</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本理财产品募集的资金投资于以下金融资产和金融工具，包括但不限于：</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1.现金、银行存款、银行承兑汇票、同业存款、大额存单、同业存单、债券回购、货币基金等货币市场工具；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3.公开募集基础设施证券投资基金等符合监管要求的公募证券投资基金；</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4.投资范围为上述资产的信托计划、资产管理计划等资产管理产品；</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5.法律法规或监管机构允许投资的符合本理财产品投资性质的其他金融工具；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投资比例</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本理财产品投资于固定收益类资产的比例不低于本理财产品的总资产80%。</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投资策略</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bCs/>
                <w:caps w:val="0"/>
                <w:smallCaps w:val="0"/>
                <w:snapToGrid/>
                <w:vanish w:val="0"/>
                <w:color w:val="auto"/>
                <w:kern w:val="0"/>
                <w:sz w:val="18"/>
                <w:szCs w:val="18"/>
                <w:vertAlign w:val="baseline"/>
              </w:rPr>
              <w:t>业绩比较基准</w:t>
            </w:r>
          </w:p>
        </w:tc>
        <w:tc>
          <w:tcPr>
            <w:tcW w:w="7951" w:type="dxa"/>
            <w:tcBorders>
              <w:top w:val="single" w:color="auto" w:sz="4" w:space="0"/>
              <w:left w:val="nil"/>
              <w:bottom w:val="single" w:color="auto" w:sz="4" w:space="0"/>
              <w:right w:val="single" w:color="auto" w:sz="4" w:space="0"/>
              <w:tl2br w:val="nil"/>
              <w:tr2bl w:val="nil"/>
            </w:tcBorders>
            <w:vAlign w:val="center"/>
          </w:tcPr>
          <w:p>
            <w:pPr>
              <w:rPr>
                <w:rFonts w:hint="eastAsia" w:ascii="方正黑体_GBK" w:hAnsi="方正黑体_GBK" w:eastAsia="方正黑体_GBK" w:cs="方正黑体_GBK"/>
              </w:rPr>
            </w:pPr>
            <w:r>
              <w:rPr>
                <w:rFonts w:hint="eastAsia" w:ascii="方正黑体_GBK" w:hAnsi="方正黑体_GBK" w:eastAsia="方正黑体_GBK" w:cs="方正黑体_GBK"/>
              </w:rPr>
              <w:t>本理财产品的业</w:t>
            </w:r>
            <w:r>
              <w:rPr>
                <w:rFonts w:hint="eastAsia" w:ascii="方正黑体_GBK" w:hAnsi="方正黑体_GBK" w:eastAsia="方正黑体_GBK" w:cs="方正黑体_GBK"/>
                <w:sz w:val="18"/>
              </w:rPr>
              <w:t>绩比较基准为年化2.40%-3.40% 。</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业绩比较基准是管理人基于过往投资经验、对产品存续期拟投资标的和相应投资市场波动的预判设定的投资目标。本理财产品投资于固定收益类资产的比例不低于总资产的80%。结合债券市场的收益和波动水平预判，在本理财产品约定的投资策略基础上，管理人设定了本理财产品投资周期内业绩比较基准。</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注：管理人可根据市场情况对业绩比较基准进行适当调整，如有调整，将至少于调整前3个工作日公布调整方案。</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bCs/>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产品费用</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申购费：本理财产品暂不收取申购费。</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赎回费：本理财产品暂不收取赎回费。</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销售费：本理财产品按前一日理财产品资产净值收取年化0.2%的销售费，按日计提。</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每日计提的销售费=前一日本理财产品资产净值×年化销售费率÷365</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固定管理费：本理财产品按前一日理财产品资产净值收取年化0.4%的固定管理费，按日计提。</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每日计提的固定管理费=前一日本理财产品资产净值×年化固定管理费率÷365</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托管费：本理财产品按前一日理财产品资产净值收取年化0.02%的托管费，按日计提。</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每日计提的托管费=前一日本理财产品资产净值×年化托管费率÷365</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投资者份额持有期间年化收益率=（赎回确认日产品累计净值或实际到期日前一产品开放日产品累计净值-申购确认日产品累计净值）÷申购确认日产品单位净值÷投资者份额实际持有天数×365天。投资者份额实际持有天数为份额运作起始日（含）至份额运作终止日（不含）之间的天数。</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风险事件说明</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具体参见本理财产品风险揭示书。</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一是建仓或进行组合调整时，若投资资产包括债券或基金，可能由于特定债券或基金的流动性相对不足而无法按预期的价格买进（申购）或卖出（赎回）；</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二是为应对投资者的赎回，被迫以不适当的价格卖出债券或赎回基金；</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三是若投资资产包括非标准化债权类资产，可能由于资产缺少流动性而难以变现。 以上情形均可能使产品净值受到不利影响。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理财产品管理人及管理人职责</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1.按照法律法规、监管规定及理财产品销售文件的约定，发行并管理理财产品；</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2.根据理财产品的投资组合、同类产品过往业绩和风险状况等因素，对理财产品进行评级；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3.按照法律法规、监管规定及与投资者约定的信息披露渠道及时披露理财产品相关信息；</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4.按照理财产品销售文件约定的投资范围和权限，负责理财产品资金的运用和管理，向投资者进行收益分配；</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5.审慎选择理财产品销售机构，切实履行对销售机构的管理责任；</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6.根据法律法规、监管规定建立健全投资者权益保护管理体系；</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销售机构及销售机构职责</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销售机构为南银理财有限责任公司、南京银行股份有限公司、齐鲁银行股份有限公司、天津农村商业银行股份有限公司、浙江网商银行股份有限公司。管理人有权调整本理财产品的销售机构并进行信息披露。</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销售机构主要职责如下：</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1.按照法律法规、监管规定及理财产品销售文件的约定，开展理财产品销售活动，向投资者充分披露信息和揭示风险；</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2.对非机构投资者的风险承受能力进行评估，确保投资者风险承受能力评估的客观性、及时性和有效性；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3.妥善保管投资者理财产品销售相关资料，保管年限不低于20年；</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4.根据反洗钱、反恐怖融资及非居民金融账户涉税信息尽职调查等相关法律法规要求识别客户身份；</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5.建立健全投资者权益保护管理体系，加强投资者适当性管理；</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托管人及托管人职责</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本理财产品托管人为南京银行股份有限公司，主要职责如下：</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1.安全保管理财产品财产；</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2.为每只理财产品开设独立的托管账户，不同托管账户中的资产应当相互独立；</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3.按照托管协议约定和管理人的投资指令，及时办理清算、交割事宜；</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4.建立与管理人的对账机制，复核、审查理财产品资金头寸、资产账目、资产净值、认购和赎回价格等数据，及时核查认购、赎回以及投资资金的支付和到账情况；</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5.监督理财产品投资运作，发现理财产品违反法律、行政法规、规章规定或合同约定进行投资的，应当拒绝执行，及时通知管理人并报告银行业监督管理机构；</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7.理财托管业务活动的记录、账册、报表和其他相关资料保存20年以上；</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8.对理财产品投资信息和相关资料承担保密责任，除法律、行政法规、规章规定、审计要求或者合同约定外，不得向任何机构或者个人提供相关信息和资料；</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拟进行合作的理财投资合作机构</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合作机构为华润深国投信托有限公司、江苏省国际信托有限责任公司、平安资产管理有限责任公司、泰康资产管理有限责任公司、太平洋资产管理有限责任公司、中粮信托有限责任公司、鑫元基金管理有限公司、鑫沅资产管理有限公司，上述投资合作机构主要职责对应如下，具体职责以管理人与投资合作机构签署的合同为准。</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合作机构为从事理财产品受托投资的机构，主要承担根据合同约定进行受托资金的投资管理的职责：华润深国投信托有限公司、江苏省国际信托有限责任公司、平安资产管理有限责任公司、泰康资产管理有限责任公司、太平洋资产管理有限责任公司、中粮信托有限责任公司、鑫元基金管理有限公司、鑫沅资产管理有限公司。</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若上述合作机构及其职责发生调整，管理人将在本理财产品的定期报告中进行信息披露。</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上述投资合作机构简介：</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华润深国投信托有限公司成立于1982年08月24日，注册资本金110亿元。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江苏省国际信托有限责任公司成立于1992年06月01日，注册资本金87.60亿元。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平安资产管理有限责任公司成立于2005年05月27日，注册资本金15亿元。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泰康资产管理有限责任公司成立于2006年02月21日，注册资本金10亿元。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太平洋资产管理有限责任公司成立于2006年06月09日，注册资本金21亿元。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中粮信托有限责任公司成立于2009年07月27日，注册资本金28.3亿元。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鑫元基金管理有限公司成立于2013年08月29日，注册资本金17亿元。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鑫沅资产管理有限公司成立于2014年02月19日，注册资本金15.5亿元。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巨额赎回</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本理财产品单个开放日净赎回申请超过前一产品工作日日终本理财产品总份额的 10%时，触发巨额赎回，</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在赎回确认日管理人办理的赎回份额将不低于前一产品工作日日终理财产品总份额的 10%。</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本理财产品在开放日发生巨额赎回时，管理人有权根据产品的实际运作情况采取如下措施中的一种：</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 10%，并按单个投资者的赎回申请份额占当日所有投资者的净赎回申请总份额的比例，确认该投资者当日办理的赎回申请份额，对于其余赎回申请管理人可暂停接受或延期办理。</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（1）投资者在申请赎回时可选择将当日未获办理部分予以撤销，即暂停接受情形，管理人将拒绝该部分赎回申请，撤销的部分投资者可在下一个产品开放日再次发起赎回申请。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具体服务投资者可详询代销机构，最终以代销机构提供的服务为准。</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rPr>
              <w:t>2.接受全额赎回：当管理人认为有能力兑付投资者的全部赎回申请时，将在赎回确认日按正常赎回程序执行。</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本理财产品发生巨额赎回、管理人接受部分赎回时，对于暂停接受和延期办理的部分，管理人可能需在下一个申购或赎回开放日才可确认，可能影响投资者的资金安排。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连续巨额赎回</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暂停接受认申购</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发生下列情形时，管理人可暂停接受认申购申请：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1.因不可抗力导致理财产品无法正常运作；</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2.因监管政策、市场发生重大变化，导致理财产品无法正常运作；</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3.管理人认为需要暂停认申购的其他情形。</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若管理人暂停接受认申购申请，将在3个交易日内告知该理财产品的投资者，并说明运用相关措施的原因、拟采取的应对安排等。在暂停接受认申购申请期间，投资者需重新进行资金安排。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暂停接受赎回</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发生下列情形时，管理人可暂停接受投资者的赎回申请：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1.因不可抗力导致管理人不能支付赎回款项；</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2.银行间市场或证券交易所交易时间非正常停市，导致管理人无法计算当日理财产品资产净值；</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3.管理人、法律法规规定或监管认定的其他情形。</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若管理人暂停接受赎回申请，将在3个交易日内告知该理财产品的投资者，并说明运用相关措施的原因、拟采取的应对安排等。</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在暂停接受赎回申请期间，投资者将无法获得赎回资金，需重新进行资金安排。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其他说明事项</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1.持有期14天以内的份额不可提出赎回申请，投资者应考虑产品最低持有期限并合理安排自身投资计划。</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2.管理人在本理财产品存续期间按照监管规定进行信息披露，详见本理财产品说明书第五条信息披露。</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3.本理财产品投资的资产管理产品的业绩报酬、赎回费等的提取（如有）可能造成本理财产品净值的下降。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23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税务处理</w:t>
            </w:r>
          </w:p>
        </w:tc>
        <w:tc>
          <w:tcPr>
            <w:tcW w:w="795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caps w:val="0"/>
          <w:smallCaps w:val="0"/>
          <w:snapToGrid/>
          <w:vanish w:val="0"/>
          <w:color w:val="auto"/>
          <w:sz w:val="15"/>
          <w:szCs w:val="15"/>
          <w:vertAlign w:val="baseline"/>
        </w:rPr>
        <w:t>特别说明：本理财产品无预期收益率，</w:t>
      </w:r>
      <w:r>
        <w:rPr>
          <w:rFonts w:hint="eastAsia" w:ascii="方正黑体_GBK" w:hAnsi="方正黑体_GBK" w:eastAsia="方正黑体_GBK" w:cs="方正黑体_GBK"/>
          <w:b/>
          <w:caps w:val="0"/>
          <w:smallCaps w:val="0"/>
          <w:snapToGrid/>
          <w:vanish w:val="0"/>
          <w:color w:val="auto"/>
          <w:sz w:val="15"/>
          <w:szCs w:val="15"/>
          <w:u w:val="single"/>
          <w:vertAlign w:val="baseline"/>
        </w:rPr>
        <w:t>理财产品过往业绩不代表其未来表现，不等于理财产品实际收益，</w:t>
      </w:r>
      <w:r>
        <w:rPr>
          <w:rFonts w:hint="eastAsia" w:ascii="方正黑体_GBK" w:hAnsi="方正黑体_GBK" w:eastAsia="方正黑体_GBK" w:cs="方正黑体_GBK"/>
          <w:b/>
          <w:caps w:val="0"/>
          <w:smallCaps w:val="0"/>
          <w:snapToGrid/>
          <w:vanish w:val="0"/>
          <w:color w:val="auto"/>
          <w:sz w:val="15"/>
          <w:szCs w:val="15"/>
          <w:vertAlign w:val="baseline"/>
        </w:rPr>
        <w:t>投资须谨慎。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第二条  名词释义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在本理财产品说明书中，除非上下文另有明确约定，下列用词将具有如下含义：</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参与主体用语</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1.南银理财/管理人/</w:t>
      </w:r>
      <w:r>
        <w:rPr>
          <w:rFonts w:hint="eastAsia" w:ascii="方正黑体_GBK" w:hAnsi="方正黑体_GBK" w:eastAsia="方正黑体_GBK" w:cs="方正黑体_GBK"/>
          <w:color w:val="3D3D3D"/>
          <w:kern w:val="0"/>
          <w:sz w:val="15"/>
          <w:szCs w:val="15"/>
          <w:highlight w:val="none"/>
          <w:lang w:val="en-US" w:eastAsia="zh-CN"/>
        </w:rPr>
        <w:t>产品管理人/</w:t>
      </w:r>
      <w:r>
        <w:rPr>
          <w:rFonts w:hint="eastAsia" w:ascii="方正黑体_GBK" w:hAnsi="方正黑体_GBK" w:eastAsia="方正黑体_GBK" w:cs="方正黑体_GBK"/>
          <w:color w:val="3D3D3D"/>
          <w:kern w:val="0"/>
          <w:sz w:val="15"/>
          <w:szCs w:val="15"/>
          <w:highlight w:val="none"/>
        </w:rPr>
        <w:t>理财产品管理人：指南银理财有限责任公司。</w:t>
      </w:r>
    </w:p>
    <w:p>
      <w:pPr>
        <w:pStyle w:val="18"/>
        <w:keepNext w:val="0"/>
        <w:keepLines w:val="0"/>
        <w:pageBreakBefore w:val="0"/>
        <w:widowControl/>
        <w:suppressLineNumbers w:val="0"/>
        <w:tabs>
          <w:tab w:val="left" w:pos="567"/>
        </w:tabs>
        <w:suppressAutoHyphens w:val="0"/>
        <w:spacing w:line="200" w:lineRule="exact"/>
        <w:ind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lang w:eastAsia="zh-CN"/>
        </w:rPr>
        <w:t xml:space="preserve">     2.销售</w:t>
      </w:r>
      <w:r>
        <w:rPr>
          <w:rFonts w:hint="eastAsia" w:ascii="方正黑体_GBK" w:hAnsi="方正黑体_GBK" w:eastAsia="方正黑体_GBK" w:cs="方正黑体_GBK"/>
          <w:color w:val="3D3D3D"/>
          <w:kern w:val="0"/>
          <w:sz w:val="15"/>
          <w:szCs w:val="15"/>
          <w:highlight w:val="none"/>
        </w:rPr>
        <w:t>机构：指</w:t>
      </w:r>
      <w:r>
        <w:rPr>
          <w:rFonts w:hint="eastAsia" w:ascii="方正黑体_GBK" w:hAnsi="方正黑体_GBK" w:eastAsia="方正黑体_GBK" w:cs="方正黑体_GBK"/>
          <w:color w:val="3D3D3D"/>
          <w:kern w:val="0"/>
          <w:sz w:val="15"/>
          <w:szCs w:val="15"/>
          <w:highlight w:val="none"/>
          <w:lang w:eastAsia="zh-CN"/>
        </w:rPr>
        <w:t>本</w:t>
      </w:r>
      <w:r>
        <w:rPr>
          <w:rFonts w:hint="eastAsia" w:ascii="方正黑体_GBK" w:hAnsi="方正黑体_GBK" w:eastAsia="方正黑体_GBK" w:cs="方正黑体_GBK"/>
          <w:color w:val="3D3D3D"/>
          <w:kern w:val="0"/>
          <w:sz w:val="15"/>
          <w:szCs w:val="15"/>
          <w:highlight w:val="none"/>
        </w:rPr>
        <w:t>理财产品的销售机构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包括</w:t>
      </w:r>
      <w:r>
        <w:rPr>
          <w:rFonts w:hint="eastAsia" w:ascii="方正黑体_GBK" w:hAnsi="方正黑体_GBK" w:eastAsia="方正黑体_GBK" w:cs="方正黑体_GBK"/>
          <w:color w:val="3D3D3D"/>
          <w:kern w:val="0"/>
          <w:sz w:val="15"/>
          <w:szCs w:val="15"/>
          <w:highlight w:val="none"/>
        </w:rPr>
        <w:t>销售本公司发行理财产品的理财公司</w:t>
      </w:r>
      <w:r>
        <w:rPr>
          <w:rFonts w:hint="eastAsia" w:ascii="方正黑体_GBK" w:hAnsi="方正黑体_GBK" w:eastAsia="方正黑体_GBK" w:cs="方正黑体_GBK"/>
          <w:color w:val="3D3D3D"/>
          <w:kern w:val="0"/>
          <w:sz w:val="15"/>
          <w:szCs w:val="15"/>
          <w:highlight w:val="none"/>
          <w:lang w:val="en-US" w:eastAsia="zh-CN"/>
        </w:rPr>
        <w:t>即南银理财，以及</w:t>
      </w:r>
      <w:r>
        <w:rPr>
          <w:rFonts w:hint="eastAsia" w:ascii="方正黑体_GBK" w:hAnsi="方正黑体_GBK" w:eastAsia="方正黑体_GBK" w:cs="方正黑体_GBK"/>
          <w:color w:val="3D3D3D"/>
          <w:kern w:val="0"/>
          <w:sz w:val="15"/>
          <w:szCs w:val="15"/>
          <w:highlight w:val="none"/>
        </w:rPr>
        <w:t>接受</w:t>
      </w:r>
      <w:r>
        <w:rPr>
          <w:rFonts w:hint="eastAsia" w:ascii="方正黑体_GBK" w:hAnsi="方正黑体_GBK" w:eastAsia="方正黑体_GBK" w:cs="方正黑体_GBK"/>
          <w:color w:val="3D3D3D"/>
          <w:kern w:val="0"/>
          <w:sz w:val="15"/>
          <w:szCs w:val="15"/>
          <w:highlight w:val="none"/>
          <w:lang w:val="en-US" w:eastAsia="zh-CN"/>
        </w:rPr>
        <w:t>南银理财</w:t>
      </w:r>
      <w:r>
        <w:rPr>
          <w:rFonts w:hint="eastAsia" w:ascii="方正黑体_GBK" w:hAnsi="方正黑体_GBK" w:eastAsia="方正黑体_GBK" w:cs="方正黑体_GBK"/>
          <w:color w:val="3D3D3D"/>
          <w:kern w:val="0"/>
          <w:sz w:val="15"/>
          <w:szCs w:val="15"/>
          <w:highlight w:val="none"/>
        </w:rPr>
        <w:t>委托销售其发行理财产品的代理销售机构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代销机构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rPr>
        <w:t>。</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3.托管人：指根据管理人委托，对理财产品财产进行托管的机构。</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4.认购/申购人：指在募集期/开放期期间签署本理财产品销售文件并向理财产品管理人交付认购/申购资金的投资者。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6.投资者：指购买南银理财发行的相关理财产品的符合相关法律法规及监管要求的个人或机构。</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法律文件用语</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1.销售协议书：指本理财产品对应的《理财产品销售协议书》以及对该文件的有效修改或补充。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s="方正黑体_GBK"/>
          <w:color w:val="3D3D3D"/>
          <w:kern w:val="0"/>
          <w:sz w:val="15"/>
          <w:szCs w:val="15"/>
          <w:highlight w:val="none"/>
          <w:lang w:eastAsia="zh-CN"/>
        </w:rPr>
        <w:t>该文件</w:t>
      </w:r>
      <w:r>
        <w:rPr>
          <w:rFonts w:hint="eastAsia" w:ascii="方正黑体_GBK" w:hAnsi="方正黑体_GBK" w:eastAsia="方正黑体_GBK" w:cs="方正黑体_GBK"/>
          <w:color w:val="3D3D3D"/>
          <w:kern w:val="0"/>
          <w:sz w:val="15"/>
          <w:szCs w:val="15"/>
          <w:highlight w:val="none"/>
        </w:rPr>
        <w:t>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3.风险揭示书：指本理财产品对应的《理财产品风险揭示书》以及对该文件的有效修改或补充。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4.投资者权益须知：指本理财产品对应的《投资者权益须知》以及对该文件的有效修改或补充。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5.投资协议书：指本理财产品对应的《理财产品投资协议书》以及对该文件的有效修改或补充。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6.销售文件：指本理财产品对应的产品说明书、风险揭示书、投资者权益须知、销售协议书、投资协议书等。</w:t>
      </w:r>
      <w:r>
        <w:rPr>
          <w:rFonts w:hint="eastAsia" w:ascii="方正黑体_GBK" w:hAnsi="方正黑体_GBK" w:eastAsia="方正黑体_GBK" w:cs="方正黑体_GBK"/>
          <w:bCs/>
          <w:color w:val="3D3D3D"/>
          <w:kern w:val="0"/>
          <w:sz w:val="15"/>
          <w:szCs w:val="15"/>
          <w:highlight w:val="none"/>
        </w:rPr>
        <w:t>上述文件共同构成本理财产品完整且不可分割的销售文件。</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期间与日期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1.募集期：指管理人确定的接受投资者认购本理财产品的起止期限。</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2.开放期：指管理人确定的除募集期外接受投资者申购、赎回本理财产品的起止期限。</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3.提前终止权行使日：指管理人行使提前终止权的日期，即本理财产品被提前终止、开始停止计算收益的日期。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5.认购、申购、赎回确认日：指投资者认购、申购、赎回理财产品最终确认日期。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7.产品存续期：指理财产品成立至终止的期间。</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8.名义到期日：指在管理人未对本理财产品提前终止或延期终止的情况下本理财产品的到期日期。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10.工作日：指除国家法定节假日和休息日（包括周六、周日）外的日期。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11.交易日：指上海证券交易所和深圳证券交易所的正常开盘交易日。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12.支付日：指根据本理财产品说明书约定向销售文件约定的投资者授权指定账户划付理财产品资金之日。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13.赎回或到期清算分配资金到账日：指赎回或到期清算分配资金划入销售文件约定的投资者授权指定账户之日。</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理财产品用语</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color w:val="3D3D3D"/>
          <w:kern w:val="0"/>
          <w:sz w:val="15"/>
          <w:szCs w:val="15"/>
          <w:highlight w:val="none"/>
        </w:rPr>
        <w:t xml:space="preserve"> 1.本理财产品/理财产品：</w:t>
      </w:r>
      <w:r>
        <w:rPr>
          <w:rFonts w:hint="eastAsia" w:ascii="方正黑体_GBK" w:hAnsi="方正黑体_GBK" w:eastAsia="方正黑体_GBK" w:cs="方正黑体_GBK"/>
          <w:vanish w:val="0"/>
          <w:color w:val="3D3D3D"/>
          <w:kern w:val="0"/>
          <w:sz w:val="15"/>
          <w:szCs w:val="15"/>
        </w:rPr>
        <w:t xml:space="preserve"> </w:t>
      </w:r>
      <w:r>
        <w:rPr>
          <w:rFonts w:hint="eastAsia" w:ascii="方正黑体_GBK" w:hAnsi="方正黑体_GBK" w:eastAsia="方正黑体_GBK" w:cs="方正黑体_GBK"/>
          <w:b/>
          <w:bCs/>
          <w:caps w:val="0"/>
          <w:smallCaps w:val="0"/>
          <w:snapToGrid/>
          <w:vanish w:val="0"/>
          <w:color w:val="3D3D3D"/>
          <w:kern w:val="0"/>
          <w:sz w:val="15"/>
          <w:szCs w:val="15"/>
          <w:vertAlign w:val="baseline"/>
          <w:lang w:val="en-US" w:eastAsia="zh-CN"/>
        </w:rPr>
        <w:t>南银理财鼎瑞悦稳（最低持有14天）公募人民币理财产品</w:t>
      </w:r>
      <w:r>
        <w:rPr>
          <w:rFonts w:hint="eastAsia" w:ascii="方正黑体_GBK" w:hAnsi="方正黑体_GBK" w:eastAsia="方正黑体_GBK" w:cs="方正黑体_GBK"/>
          <w:vanish w:val="0"/>
          <w:color w:val="3D3D3D"/>
          <w:kern w:val="0"/>
          <w:sz w:val="15"/>
          <w:szCs w:val="15"/>
        </w:rPr>
        <w:t>。</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6.单位净值/产品每份额净值：指理财产品每单位份额的净值，即每1份理财产品份额以人民币计价的价格。</w:t>
      </w:r>
      <w:r>
        <w:rPr>
          <w:rFonts w:hint="eastAsia" w:ascii="方正黑体_GBK" w:hAnsi="方正黑体_GBK" w:eastAsia="方正黑体_GBK" w:cs="方正黑体_GBK"/>
          <w:bCs/>
          <w:color w:val="3D3D3D"/>
          <w:kern w:val="0"/>
          <w:sz w:val="15"/>
          <w:szCs w:val="15"/>
          <w:highlight w:val="none"/>
        </w:rPr>
        <w:t>产品份额净值=产品资产净值/产品总份额。投资者按该份额净值进行理财产品认购、申购和赎回、获得到期/终止时分配。产品份额净值按去尾法保留</w:t>
      </w:r>
      <w:r>
        <w:rPr>
          <w:rFonts w:hint="eastAsia" w:ascii="方正黑体_GBK" w:hAnsi="方正黑体_GBK" w:eastAsia="方正黑体_GBK" w:cs="方正黑体_GBK"/>
          <w:bCs/>
          <w:color w:val="3D3D3D"/>
          <w:kern w:val="0"/>
          <w:sz w:val="15"/>
          <w:szCs w:val="15"/>
          <w:highlight w:val="none"/>
          <w:lang w:val="en-US" w:eastAsia="zh-CN"/>
        </w:rPr>
        <w:t>6</w:t>
      </w:r>
      <w:r>
        <w:rPr>
          <w:rFonts w:hint="eastAsia" w:ascii="方正黑体_GBK" w:hAnsi="方正黑体_GBK" w:eastAsia="方正黑体_GBK" w:cs="方正黑体_GBK"/>
          <w:bCs/>
          <w:color w:val="3D3D3D"/>
          <w:kern w:val="0"/>
          <w:sz w:val="15"/>
          <w:szCs w:val="15"/>
          <w:highlight w:val="none"/>
        </w:rPr>
        <w:t>位小数。</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7.理财产品估值/估值：指计算评估理财产品资产以确定理财产品份额单位净值的过程。</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8.业绩比较基准：指管理人基于</w:t>
      </w:r>
      <w:r>
        <w:rPr>
          <w:rFonts w:hint="eastAsia" w:ascii="方正黑体_GBK" w:hAnsi="方正黑体_GBK" w:eastAsia="方正黑体_GBK" w:cs="方正黑体_GBK"/>
          <w:color w:val="3D3D3D"/>
          <w:kern w:val="0"/>
          <w:sz w:val="15"/>
          <w:szCs w:val="15"/>
          <w:highlight w:val="none"/>
          <w:lang w:val="en-US" w:eastAsia="zh-CN"/>
        </w:rPr>
        <w:t>产品性质、投资策略、</w:t>
      </w:r>
      <w:r>
        <w:rPr>
          <w:rFonts w:hint="eastAsia" w:ascii="方正黑体_GBK" w:hAnsi="方正黑体_GBK" w:eastAsia="方正黑体_GBK" w:cs="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s="方正黑体_GBK"/>
          <w:color w:val="3D3D3D"/>
          <w:kern w:val="0"/>
          <w:sz w:val="15"/>
          <w:szCs w:val="15"/>
          <w:highlight w:val="none"/>
          <w:lang w:val="en-US" w:eastAsia="zh-CN"/>
        </w:rPr>
        <w:t>不构成</w:t>
      </w:r>
      <w:r>
        <w:rPr>
          <w:rFonts w:hint="eastAsia" w:ascii="方正黑体_GBK" w:hAnsi="方正黑体_GBK" w:eastAsia="方正黑体_GBK" w:cs="方正黑体_GBK"/>
          <w:color w:val="3D3D3D"/>
          <w:kern w:val="0"/>
          <w:sz w:val="15"/>
          <w:szCs w:val="15"/>
          <w:highlight w:val="none"/>
        </w:rPr>
        <w:t>管理人对本理财产品收益</w:t>
      </w:r>
      <w:r>
        <w:rPr>
          <w:rFonts w:hint="eastAsia" w:ascii="方正黑体_GBK" w:hAnsi="方正黑体_GBK" w:eastAsia="方正黑体_GBK" w:cs="方正黑体_GBK"/>
          <w:color w:val="3D3D3D"/>
          <w:kern w:val="0"/>
          <w:sz w:val="15"/>
          <w:szCs w:val="15"/>
          <w:highlight w:val="none"/>
          <w:lang w:val="en-US" w:eastAsia="zh-CN"/>
        </w:rPr>
        <w:t>的</w:t>
      </w:r>
      <w:r>
        <w:rPr>
          <w:rFonts w:hint="eastAsia" w:ascii="方正黑体_GBK" w:hAnsi="方正黑体_GBK" w:eastAsia="方正黑体_GBK" w:cs="方正黑体_GBK"/>
          <w:color w:val="3D3D3D"/>
          <w:kern w:val="0"/>
          <w:sz w:val="15"/>
          <w:szCs w:val="15"/>
          <w:highlight w:val="none"/>
        </w:rPr>
        <w:t>承诺。</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9.认购：指投资者根据产品说明书约定在募集期内申请购买本理财产品的理财产品份额的行为。</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10.申购、赎回申请：指在理财产品的开放期内，投资者向理财产品管理人提出申请对理财产品份额进行购买或卖出的行为。</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13.固定收益类理财产品：指投资于存款、债券等债权类资产的比例不低于80%的理财产品。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14.权益类理财产品：指投资于权益类资产的比例不低于80%的理财产品。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15.商品及金融衍生品类理财产品：指投资于商品及金融衍生品的比例不低于80%的理财产品。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16.混合类理财产品：指投资于债权类资产、权益类资产、商品及金融衍生品类资产且任一资产的投资比例均未达到80%的理财产品。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17.公募理财产品：指面向不特定社会公众公开发行的理财产品。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18.私募理财产品：指面向合格投资者非公开发行的理财产品。</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其他</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自然灾害、地震、台风、海啸、洪水、火灾、停电、突发性公共卫生事件；</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罢工、内战、战争、军事行动、任何种类的恐怖活动、暴动、公众示威或抗议；</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新的适用法律或国家政策的颁布或实施、对原适用法律或国家政策的修改；</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任何政府机关或其他机关的行为（不论是在法律上或是在事实上）、法律、法规、条例、规则、规定、裁决、命令或指令（包括国有化或对外限制、外汇管制）、诉讼或威胁；</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中国境内或全球金融外汇市场发生致使甲方无法进行货币兑换、划转等的异常变化；</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3.元：指人民币元。</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第三条  情景示例</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假设：投资者认购本理财产品10万元，确认认购的产品净值为1.0000元，折算份额100,000份，该份额在2023年09月24日及之前不可赎回。</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情景示例一：投资者于2023年10月25日10时申请赎回50,000份，赎回确认日产品单位净值折算每份额净值1.0300，则客户在资金到帐日收到赎回资金为51,500元。</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rPr>
      </w:pPr>
      <w:r>
        <w:rPr>
          <w:rFonts w:hint="eastAsia" w:ascii="方正黑体_GBK" w:hAnsi="方正黑体_GBK" w:eastAsia="方正黑体_GBK" w:cs="方正黑体_GBK"/>
          <w:color w:val="3D3D3D"/>
          <w:kern w:val="0"/>
          <w:sz w:val="15"/>
          <w:szCs w:val="15"/>
        </w:rPr>
        <w:t>情景示例二：投资者于2023年11月15日10时申请赎回20,000份，赎回确认日产品单位净值折算每份额净值为0.9700，则客户在资金到帐日收到赎回资金为19,400元。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 xml:space="preserve">   </w:t>
      </w:r>
      <w:r>
        <w:rPr>
          <w:rFonts w:hint="eastAsia" w:ascii="方正黑体_GBK" w:hAnsi="方正黑体_GBK" w:eastAsia="方正黑体_GBK" w:cs="方正黑体_GBK"/>
          <w:color w:val="3D3D3D"/>
          <w:kern w:val="0"/>
          <w:sz w:val="15"/>
          <w:szCs w:val="15"/>
        </w:rPr>
        <w:t>以上数据为假设情形中的模拟数据，不代表实际收益，投资须谨慎。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Style w:val="32"/>
          <w:rFonts w:hint="eastAsia" w:ascii="方正黑体_GBK" w:hAnsi="方正黑体_GBK" w:eastAsia="方正黑体_GBK" w:cs="方正黑体_GBK"/>
          <w:vanish w:val="0"/>
          <w:sz w:val="15"/>
          <w:szCs w:val="15"/>
        </w:rPr>
      </w:pPr>
      <w:r>
        <w:rPr>
          <w:rFonts w:hint="eastAsia" w:ascii="方正黑体_GBK" w:hAnsi="方正黑体_GBK" w:eastAsia="方正黑体_GBK" w:cs="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keepNext w:val="0"/>
        <w:keepLines w:val="0"/>
        <w:pageBreakBefore w:val="0"/>
        <w:widowControl/>
        <w:suppressLineNumbers w:val="0"/>
        <w:suppressAutoHyphens w:val="0"/>
        <w:spacing w:line="200" w:lineRule="exact"/>
        <w:ind w:firstLine="301" w:firstLineChars="200"/>
        <w:rPr>
          <w:rStyle w:val="32"/>
          <w:rFonts w:hint="eastAsia" w:ascii="方正黑体_GBK" w:hAnsi="方正黑体_GBK" w:eastAsia="方正黑体_GBK" w:cs="方正黑体_GBK"/>
          <w:lang w:val="en-US" w:eastAsia="zh-CN"/>
        </w:rPr>
      </w:pPr>
      <w:r>
        <w:rPr>
          <w:rFonts w:hint="eastAsia" w:ascii="方正黑体_GBK" w:hAnsi="方正黑体_GBK" w:eastAsia="方正黑体_GBK" w:cs="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l="0"/>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第四</w:t>
      </w:r>
      <w:r>
        <w:rPr>
          <w:rFonts w:hint="eastAsia" w:ascii="方正黑体_GBK" w:hAnsi="方正黑体_GBK" w:eastAsia="方正黑体_GBK" w:cs="方正黑体_GBK"/>
          <w:b/>
          <w:bCs w:val="0"/>
          <w:vanish w:val="0"/>
          <w:color w:val="auto"/>
          <w:kern w:val="0"/>
          <w:sz w:val="15"/>
          <w:szCs w:val="15"/>
        </w:rPr>
        <w:t>条  理财产品估值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（一）估值日</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本理财产品每个工作日进行估值。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（二）估值对象</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本理财产品所拥有的所有资产及负债。</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（三）估值目的</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客观、准确反映理财产品的价值。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（四）估值原则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估值中坚持公允价值计量原则。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（五）估值方法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估值方法中列示的资产品种不代表管理人的实际投向，本理财产品拟投资范围以“投资范围”章节描述为准。</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1.银行存款、回购等货币市场工具</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以本金列示，按商定的利率在实际持有期间内逐日计提。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2.债券类资产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3.非标准化债权类资产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4.证券投资基金</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5.股权类资产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6.资管计划、信托计划等资产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7.其他资产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9.如有新增事项或变更事项，按国家最新规定或管理人最新的约定估值。</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（六）估值错误及暂停估值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当资产估值或份额净值计价错误且给投资者造成损失的，管理人应立即纠正，并采取合理的措施防止损失进一步扩大。</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第五条  信息披露</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信息披露渠道</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信息披露的内容及时间</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净值信息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管理人在本理财产品存续期间至少按日向投资者披露净值。</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产品发行公告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管理人将在本理财产品成立后5个工作日内披露产品发行公告。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定期报告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每个季度结束之日起15个工作日内、上半年结束之日起60个工作日内、每年结束之日起90个工作日内披露本理财产品的季度、半年和年度报告，如果本理财产品成立不足90个工作日或者剩余存续期不超过90个工作日的，管理人可以不编制产品当期的季度、半年和年度报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到期公告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管理人将在本理财产品终止后5个工作日内披露产品到期公告。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重大事项公告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管理人将在发生可能对本理财产品投资者或者理财产品收益产生重大影响的事件后2个工作日内披露重大事项公告。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临时公告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理财产品在运作管理过程中，发生可能对理财产品持有人权益产生影响的事项时，管理人将根据法律法规规定及时进行临时信息披露。</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关联交易信息披露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账单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在本理财产品存续期内：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10.其他公告</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理财产品在运作管理过程中，管理人根据实际运作情况发布的其他公告。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第六条  投资者保护提示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您如对销售机构产品推介和销售等服务有任何意见或建议，您可通过拨打销售机构客服电话进行咨询及反馈。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您如对理财产品设计、投资管理等事项有任何意见或建议，您可通过拨打管理人客服电话进行咨询及反馈。</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销售机构及管理人的联系方式详见《投资者权益须知》第八条。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第七条  法律适用和争议解决</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理财产品销售文件的订立、生效、履行、解释、修改和终止等事项的适用法律和争议解决方式按照销售协议书的相关约定执行。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第八条  重要提示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请您一定仔细阅读本理财产品销售文件，了解理财产品具体情况，关注投资风险，自主决定是否投资。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w:t>
      </w:r>
      <w:r>
        <w:rPr>
          <w:rFonts w:hint="eastAsia" w:ascii="方正黑体_GBK" w:hAnsi="方正黑体_GBK" w:eastAsia="方正黑体_GBK" w:cs="方正黑体_GBK"/>
          <w:b/>
          <w:bCs/>
          <w:vanish w:val="0"/>
          <w:color w:val="auto"/>
          <w:spacing w:val="0"/>
          <w:kern w:val="0"/>
          <w:sz w:val="15"/>
          <w:szCs w:val="15"/>
        </w:rPr>
        <w:t>在办理与理财产品相关事项需要的情况下向服务机构及其他管理人或销售机构认为必要的业务合作机构提供投资者相关信息。</w:t>
      </w:r>
      <w:r>
        <w:rPr>
          <w:rFonts w:hint="eastAsia" w:ascii="方正黑体_GBK" w:hAnsi="方正黑体_GBK" w:eastAsia="方正黑体_GBK" w:cs="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cs="方正黑体_GBK"/>
          <w:b/>
          <w:bCs/>
          <w:vanish w:val="0"/>
          <w:color w:val="auto"/>
          <w:spacing w:val="0"/>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风险提示：</w:t>
      </w:r>
    </w:p>
    <w:p>
      <w:pPr>
        <w:tabs>
          <w:tab w:val="left" w:pos="8033"/>
        </w:tabs>
        <w:ind w:left="0" w:firstLine="0"/>
        <w:jc w:val="left"/>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t>本理财产品是</w:t>
      </w:r>
      <w:r>
        <w:rPr>
          <w:rFonts w:hint="eastAsia" w:ascii="方正黑体_GBK" w:hAnsi="方正黑体_GBK" w:eastAsia="方正黑体_GBK" w:cs="方正黑体_GBK"/>
          <w:b/>
          <w:bCs/>
          <w:i/>
          <w:iCs/>
          <w:caps w:val="0"/>
          <w:smallCaps w:val="0"/>
          <w:snapToGrid/>
          <w:vanish w:val="0"/>
          <w:color w:val="auto"/>
          <w:kern w:val="0"/>
          <w:sz w:val="20"/>
          <w:szCs w:val="18"/>
          <w:u w:val="single"/>
          <w:vertAlign w:val="baseline"/>
          <w:lang w:val="en-US" w:eastAsia="zh-CN"/>
        </w:rPr>
        <w:t>开放式、固定收益类、公募、净值型</w:t>
      </w:r>
      <w:r>
        <w:rPr>
          <w:rFonts w:hint="eastAsia" w:ascii="方正黑体_GBK" w:hAnsi="方正黑体_GBK" w:eastAsia="方正黑体_GBK" w:cs="方正黑体_GBK"/>
          <w:b/>
          <w:bCs/>
          <w:color w:val="3D3D3D"/>
          <w:kern w:val="0"/>
          <w:sz w:val="15"/>
          <w:szCs w:val="15"/>
        </w:rPr>
        <w:t>理财产品，</w:t>
      </w:r>
      <w:r>
        <w:rPr>
          <w:rFonts w:hint="eastAsia" w:ascii="方正黑体_GBK" w:hAnsi="方正黑体_GBK" w:eastAsia="方正黑体_GBK" w:cs="方正黑体_GBK"/>
          <w:b/>
          <w:bCs/>
          <w:i/>
          <w:iCs/>
          <w:color w:val="3D3D3D"/>
          <w:kern w:val="0"/>
          <w:sz w:val="21"/>
          <w:szCs w:val="21"/>
          <w:u w:val="single"/>
        </w:rPr>
        <w:t>不保证本金和收益</w:t>
      </w:r>
      <w:r>
        <w:rPr>
          <w:rFonts w:hint="eastAsia" w:ascii="方正黑体_GBK" w:hAnsi="方正黑体_GBK" w:eastAsia="方正黑体_GBK" w:cs="方正黑体_GBK"/>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pPr>
        <w:ind w:left="0" w:firstLine="0"/>
        <w:jc w:val="left"/>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br w:type="page"/>
      </w:r>
    </w:p>
    <w:p>
      <w:pPr>
        <w:spacing w:beforeLines="0" w:afterLines="0"/>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投资者权益须知</w:t>
      </w:r>
    </w:p>
    <w:p>
      <w:pPr>
        <w:spacing w:beforeLines="0" w:afterLines="0"/>
        <w:ind w:firstLine="321" w:firstLineChars="200"/>
        <w:jc w:val="center"/>
        <w:rPr>
          <w:rFonts w:hint="eastAsia" w:ascii="方正黑体_GBK" w:hAnsi="方正黑体_GBK" w:eastAsia="方正黑体_GBK" w:cs="方正黑体_GBK"/>
          <w:b/>
          <w:i/>
          <w:sz w:val="16"/>
          <w:u w:val="single"/>
        </w:rPr>
      </w:pPr>
    </w:p>
    <w:p>
      <w:pPr>
        <w:spacing w:beforeLines="0" w:afterLines="0"/>
        <w:ind w:firstLine="321" w:firstLineChars="200"/>
        <w:jc w:val="center"/>
        <w:rPr>
          <w:rFonts w:hint="eastAsia" w:ascii="方正黑体_GBK" w:hAnsi="方正黑体_GBK" w:eastAsia="方正黑体_GBK" w:cs="方正黑体_GBK"/>
          <w:b/>
          <w:i/>
          <w:sz w:val="16"/>
          <w:u w:val="single"/>
        </w:rPr>
      </w:pPr>
      <w:r>
        <w:rPr>
          <w:rFonts w:hint="eastAsia" w:ascii="方正黑体_GBK" w:hAnsi="方正黑体_GBK" w:eastAsia="方正黑体_GBK" w:cs="方正黑体_GBK"/>
          <w:b/>
          <w:i/>
          <w:sz w:val="16"/>
          <w:u w:val="single"/>
        </w:rPr>
        <w:t xml:space="preserve">“理财非存款、产品有风险、理财产品过往业绩不代表其未来表现，不等于理财产品实际收益，投资须谨慎！” </w:t>
      </w:r>
    </w:p>
    <w:p>
      <w:pPr>
        <w:pStyle w:val="15"/>
        <w:spacing w:before="0" w:beforeLines="0" w:after="0" w:afterLines="0" w:line="240" w:lineRule="auto"/>
        <w:ind w:firstLine="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尊敬的投资者：</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本理财产品指由南银理财作为管理人发行，并由       （以下简称“销售机构”）销售的理财产品。</w:t>
      </w:r>
    </w:p>
    <w:p>
      <w:pPr>
        <w:pStyle w:val="15"/>
        <w:spacing w:beforeLines="0" w:afterLines="0" w:line="240" w:lineRule="auto"/>
        <w:ind w:left="341" w:firstLine="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第一条 理财产品购买流程说明</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（一）首次在销售机构购买理财产品的投资者应按销售机构的要求明确授权指定账户，用于本理财产品的理财资金划转及理财收益、到期清算分配资金的分配，提供并确认正确的联系方式。</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（二）在销售机构购买理财产品的个人投资者应按销售机构的要求进行投资者风险承受能力评估，并确认风险承受能力等级不低于本理财产品风险等级。</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（三）投资者应仔细阅读拟购买理财产品销售文件（以下简称“销售文件”），包括但不限于理财产品对应的：《理财产品销售协议书》《理财产品说明书》《理财产品风险揭示书》《投资者权益须知》</w:t>
      </w:r>
      <w:r>
        <w:rPr>
          <w:rFonts w:hint="eastAsia" w:ascii="方正黑体_GBK" w:hAnsi="方正黑体_GBK" w:eastAsia="方正黑体_GBK" w:cs="方正黑体_GBK"/>
          <w:spacing w:val="10"/>
          <w:sz w:val="15"/>
        </w:rPr>
        <w:t>《</w:t>
      </w:r>
      <w:r>
        <w:rPr>
          <w:rFonts w:hint="eastAsia" w:ascii="方正黑体_GBK" w:hAnsi="方正黑体_GBK" w:eastAsia="方正黑体_GBK" w:cs="方正黑体_GBK"/>
          <w:spacing w:val="10"/>
          <w:kern w:val="2"/>
          <w:sz w:val="15"/>
        </w:rPr>
        <w:t>理财产品投资协议书》</w:t>
      </w:r>
      <w:r>
        <w:rPr>
          <w:rFonts w:hint="eastAsia" w:ascii="方正黑体_GBK" w:hAnsi="方正黑体_GBK" w:eastAsia="方正黑体_GBK" w:cs="方正黑体_GBK"/>
          <w:color w:val="auto"/>
          <w:spacing w:val="10"/>
          <w:kern w:val="2"/>
          <w:sz w:val="15"/>
        </w:rPr>
        <w:t>等，理解并确认理财产品条款及产品风险。</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投资者在销售机构提供的渠道自主决定是否购买理财产品，确定购买金额，完成交易申请，并在确认份额后进行查询。</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1"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第二条 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（一）个人投资者风险承受能力评估流程说明</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1.个人投资者首次通过销售机构购买理财产品时应根据销售机构的要求进行风险承受能力评估。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3.个人投资者风险承受能力评估流程</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（1）个人投资者在销售机构进行风险承受能力评估；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（2）填写销售机构个人投资者风险承受能力测试问卷；</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（3）生成相应的个人投资者风险承受能力评估结果；</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（4）投资者对评估结果进行确认。</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●特别提示：如个人投资者发生可能影响其自身风险承受能力的情况，再次购买理财产品时应当主动要求销售机构对其进行风险承受能力评估。</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评级具体含义说明。投资者风险承受能力评估结果的含义如下：</w:t>
      </w:r>
    </w:p>
    <w:p>
      <w:pPr>
        <w:pStyle w:val="15"/>
        <w:spacing w:before="0" w:beforeLines="0" w:after="0" w:afterLines="0" w:line="240" w:lineRule="auto"/>
        <w:ind w:firstLine="38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（二）机构投资者风险承受能力评估流程说明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机构投资者请根据自身的财务状况、投资经验、投资目标、风险认知、风险判断及其他因素综合考量理财产品的投资风险及自身的风险承受能力。</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第三条 理财产品风险等级说明</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由于理财产品的运行方式和投资范围等不同，其承担的风险程度各有不同，南银理财将其风险等级分为五级，分别为：PR1级（低风险）、PR2级（中低风险）、PR3级（中等风险）、PR4级（中高风险）、PR5级（高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PR1级（低风险）：管理人不承诺本金保障，产品收益随投资表现变动，产品存在极低的本金损失风险。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PR2级（中低风险）：管理人不承诺本金保障，产品收益随投资表现变动，产品存在较低的本金损失风险。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PR3级（中等风险）：管理人不承诺本金保障，产品收益随投资表现变动，产品存在一定的本金损失风险。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PR4级（中高风险）：管理人不承诺本金保障，产品收益随投资表现变动，产品存在较高的本金损失风险。</w:t>
      </w:r>
    </w:p>
    <w:p>
      <w:pPr>
        <w:pStyle w:val="15"/>
        <w:spacing w:before="0" w:beforeLines="0" w:after="0" w:afterLines="0" w:line="240" w:lineRule="auto"/>
        <w:ind w:firstLine="336" w:firstLineChars="198"/>
        <w:jc w:val="both"/>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pacing w:val="10"/>
          <w:kern w:val="2"/>
          <w:sz w:val="15"/>
        </w:rPr>
        <w:t>PR5级（高风险）：管理人不承诺本金保障，产品收益随投资表现变动，产品存在极高的本金损失风险，产品本金蒙受全部损失的可能性不容忽视。</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本风险等级为南银理财风险评级结果，该产品通过代理销售机构渠道销售的，理财产品评级应当以代理销售机构最终披露的评级结果为准。您需充分认识投资风险，谨慎投资。</w:t>
      </w:r>
    </w:p>
    <w:p>
      <w:pPr>
        <w:pStyle w:val="15"/>
        <w:spacing w:before="0" w:beforeLines="0" w:after="0" w:afterLines="0" w:line="240" w:lineRule="auto"/>
        <w:ind w:firstLine="341" w:firstLineChars="200"/>
        <w:jc w:val="both"/>
        <w:rPr>
          <w:rFonts w:hint="eastAsia" w:ascii="方正黑体_GBK" w:hAnsi="方正黑体_GBK" w:eastAsia="方正黑体_GBK" w:cs="方正黑体_GBK"/>
          <w:sz w:val="24"/>
        </w:rPr>
      </w:pPr>
      <w:r>
        <w:rPr>
          <w:rFonts w:hint="eastAsia" w:ascii="方正黑体_GBK" w:hAnsi="方正黑体_GBK" w:eastAsia="方正黑体_GBK" w:cs="方正黑体_GBK"/>
          <w:b/>
          <w:color w:val="auto"/>
          <w:spacing w:val="10"/>
          <w:kern w:val="2"/>
          <w:sz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5"/>
        <w:spacing w:before="0" w:beforeLines="0" w:after="0" w:afterLines="0" w:line="240" w:lineRule="auto"/>
        <w:ind w:firstLine="338" w:firstLineChars="19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第四条 个人投资者风险承受能力等级与适合购买的理财产品说明</w:t>
      </w:r>
    </w:p>
    <w:tbl>
      <w:tblPr>
        <w:tblStyle w:val="16"/>
        <w:tblW w:w="5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741"/>
        <w:gridCol w:w="816"/>
        <w:gridCol w:w="816"/>
        <w:gridCol w:w="816"/>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nil"/>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个人投资者风险承受能力</w:t>
            </w:r>
          </w:p>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等级</w:t>
            </w:r>
          </w:p>
        </w:tc>
        <w:tc>
          <w:tcPr>
            <w:tcW w:w="3930" w:type="dxa"/>
            <w:gridSpan w:val="5"/>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南银理财理财产品风险等级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66"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（PR1）</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（PR2）</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中等风险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（PR3）</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（PR4）</w:t>
            </w: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bl>
    <w:p>
      <w:pPr>
        <w:pStyle w:val="15"/>
        <w:spacing w:before="0" w:beforeLines="0" w:after="0" w:afterLines="0" w:line="240" w:lineRule="auto"/>
        <w:ind w:firstLine="340" w:firstLineChars="200"/>
        <w:jc w:val="center"/>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color w:val="auto"/>
          <w:spacing w:val="10"/>
          <w:kern w:val="2"/>
          <w:sz w:val="15"/>
        </w:rPr>
        <w:t>备注：√代表可以购买；×代表不能购买。</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第五条 理财产品信息披露的方式、渠道和频率说明</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南银理财按照对应期次《理财产品说明书》约定的方式、渠道和频率进行信息披露。投资者应密切关注与本理财产品有关的信息披露，以免造成不必要的损失。</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投资者预留在南银理财或销售机构的有效联系方式变更的，应及时通知南银理财或销售机构。</w:t>
      </w:r>
      <w:r>
        <w:rPr>
          <w:rFonts w:hint="eastAsia" w:ascii="方正黑体_GBK" w:hAnsi="方正黑体_GBK" w:eastAsia="方正黑体_GBK" w:cs="方正黑体_GBK"/>
          <w:b/>
          <w:color w:val="auto"/>
          <w:spacing w:val="10"/>
          <w:kern w:val="2"/>
          <w:sz w:val="15"/>
        </w:rPr>
        <w:t>如投资者未及时告知南银理财或销售机构联系方式变更，造成南银理财或销售机构在需要时无法联系投资者，并由此影响投资者的投资决策，因此而产生的责任和风险由投资者自行承担。</w:t>
      </w:r>
    </w:p>
    <w:p>
      <w:pPr>
        <w:pStyle w:val="15"/>
        <w:spacing w:before="0" w:beforeLines="0" w:after="0" w:afterLines="0" w:line="240" w:lineRule="auto"/>
        <w:ind w:firstLine="341"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第六条 投资者信息保护</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南银理财及销售机构承诺依法履行投资者信息保密义务，防范投资者信息被不当采集、使用、传输和泄露，保护投资者的信息安全，法律法规另有规定，或有权机关另有要求的情形除外。</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第七条 投资者投诉的方式和程序</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投资者若需针对产品的设计、成立、运作、到期清算或提前终止等事项进行投诉，</w:t>
      </w:r>
      <w:r>
        <w:rPr>
          <w:rFonts w:hint="eastAsia" w:ascii="方正黑体_GBK" w:hAnsi="方正黑体_GBK" w:eastAsia="方正黑体_GBK" w:cs="方正黑体_GBK"/>
          <w:b/>
          <w:color w:val="auto"/>
          <w:spacing w:val="10"/>
          <w:kern w:val="2"/>
          <w:sz w:val="15"/>
        </w:rPr>
        <w:t>可与管理人或销售机构联系，管理人或销售机构将及时接听、记录投资者的意见或建议，并与投资者协商共同解决</w:t>
      </w:r>
      <w:r>
        <w:rPr>
          <w:rFonts w:hint="eastAsia" w:ascii="方正黑体_GBK" w:hAnsi="方正黑体_GBK" w:eastAsia="方正黑体_GBK" w:cs="方正黑体_GBK"/>
          <w:color w:val="auto"/>
          <w:spacing w:val="10"/>
          <w:kern w:val="2"/>
          <w:sz w:val="15"/>
        </w:rPr>
        <w:t>。</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第八条 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（一）南银理财联系方式</w:t>
      </w:r>
    </w:p>
    <w:p>
      <w:pPr>
        <w:pStyle w:val="15"/>
        <w:spacing w:before="0" w:after="0" w:line="240" w:lineRule="auto"/>
        <w:ind w:left="340" w:firstLine="0"/>
        <w:rPr>
          <w:rFonts w:hint="eastAsia" w:ascii="方正黑体_GBK" w:hAnsi="方正黑体_GBK" w:eastAsia="方正黑体_GBK" w:cs="方正黑体_GBK"/>
          <w:bCs/>
          <w:color w:val="auto"/>
          <w:spacing w:val="10"/>
          <w:kern w:val="2"/>
          <w:sz w:val="15"/>
          <w:szCs w:val="15"/>
        </w:rPr>
      </w:pPr>
      <w:r>
        <w:rPr>
          <w:rFonts w:hint="eastAsia" w:ascii="方正黑体_GBK" w:hAnsi="方正黑体_GBK" w:eastAsia="方正黑体_GBK" w:cs="方正黑体_GBK"/>
          <w:bCs/>
          <w:color w:val="auto"/>
          <w:spacing w:val="10"/>
          <w:kern w:val="2"/>
          <w:sz w:val="15"/>
          <w:szCs w:val="15"/>
        </w:rPr>
        <w:t>地址：南京市建邺区奥体大街68号国际研发总部园2栋13、14楼</w:t>
      </w:r>
    </w:p>
    <w:p>
      <w:pPr>
        <w:pStyle w:val="15"/>
        <w:spacing w:before="0" w:beforeLines="0" w:after="0" w:afterLines="0" w:line="240" w:lineRule="auto"/>
        <w:ind w:left="340" w:firstLine="0" w:firstLineChars="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Cs/>
          <w:color w:val="auto"/>
          <w:spacing w:val="10"/>
          <w:kern w:val="2"/>
          <w:sz w:val="15"/>
          <w:szCs w:val="15"/>
        </w:rPr>
        <w:t>电话：</w:t>
      </w:r>
      <w:r>
        <w:rPr>
          <w:rFonts w:hint="eastAsia" w:ascii="方正黑体_GBK" w:hAnsi="方正黑体_GBK" w:eastAsia="方正黑体_GBK" w:cs="方正黑体_GBK"/>
          <w:bCs/>
          <w:color w:val="auto"/>
          <w:spacing w:val="10"/>
          <w:kern w:val="2"/>
          <w:sz w:val="15"/>
          <w:szCs w:val="15"/>
          <w:lang w:val="en-US" w:eastAsia="zh-CN"/>
        </w:rPr>
        <w:t>4001195302</w:t>
      </w:r>
      <w:r>
        <w:rPr>
          <w:rFonts w:hint="eastAsia" w:ascii="方正黑体_GBK" w:hAnsi="方正黑体_GBK" w:eastAsia="方正黑体_GBK" w:cs="方正黑体_GBK"/>
          <w:bCs/>
          <w:color w:val="auto"/>
          <w:spacing w:val="10"/>
          <w:kern w:val="2"/>
          <w:sz w:val="15"/>
          <w:szCs w:val="15"/>
        </w:rPr>
        <w:t xml:space="preserve"> </w:t>
      </w: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（二）销售机构联系方式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0"/>
        <w:jc w:val="both"/>
        <w:rPr>
          <w:rFonts w:hint="eastAsia" w:ascii="方正黑体_GBK" w:hAnsi="方正黑体_GBK" w:eastAsia="方正黑体_GBK" w:cs="方正黑体_GBK"/>
          <w:b/>
          <w:color w:val="auto"/>
          <w:spacing w:val="10"/>
          <w:kern w:val="2"/>
          <w:sz w:val="15"/>
          <w:u w:val="single"/>
        </w:rPr>
      </w:pPr>
    </w:p>
    <w:p>
      <w:pPr>
        <w:pStyle w:val="15"/>
        <w:spacing w:before="0" w:beforeLines="0" w:after="0" w:afterLines="0" w:line="240" w:lineRule="auto"/>
        <w:ind w:firstLine="0"/>
        <w:jc w:val="center"/>
        <w:rPr>
          <w:rFonts w:hint="eastAsia" w:ascii="方正黑体_GBK" w:hAnsi="方正黑体_GBK" w:eastAsia="方正黑体_GBK" w:cs="方正黑体_GBK"/>
          <w:b/>
          <w:color w:val="auto"/>
          <w:spacing w:val="10"/>
          <w:kern w:val="2"/>
          <w:sz w:val="15"/>
          <w:u w:val="single"/>
        </w:rPr>
      </w:pPr>
      <w:r>
        <w:rPr>
          <w:rFonts w:hint="eastAsia" w:ascii="方正黑体_GBK" w:hAnsi="方正黑体_GBK" w:eastAsia="方正黑体_GBK" w:cs="方正黑体_GBK"/>
          <w:b/>
          <w:color w:val="auto"/>
          <w:spacing w:val="10"/>
          <w:kern w:val="2"/>
          <w:sz w:val="15"/>
          <w:u w:val="single"/>
        </w:rPr>
        <w:t>仔细阅读提示</w:t>
      </w:r>
    </w:p>
    <w:p>
      <w:pPr>
        <w:spacing w:beforeLines="0" w:afterLines="0"/>
        <w:ind w:firstLine="341" w:firstLineChars="200"/>
        <w:rPr>
          <w:rFonts w:hint="eastAsia" w:ascii="方正黑体_GBK" w:hAnsi="方正黑体_GBK" w:eastAsia="方正黑体_GBK" w:cs="方正黑体_GBK"/>
          <w:b/>
          <w:spacing w:val="10"/>
          <w:sz w:val="15"/>
          <w:u w:val="single"/>
        </w:rPr>
      </w:pPr>
      <w:r>
        <w:rPr>
          <w:rFonts w:hint="eastAsia" w:ascii="方正黑体_GBK" w:hAnsi="方正黑体_GBK" w:eastAsia="方正黑体_GBK" w:cs="方正黑体_GBK"/>
          <w:b/>
          <w:spacing w:val="10"/>
          <w:sz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pStyle w:val="15"/>
        <w:spacing w:beforeLines="0" w:afterLines="0" w:line="240" w:lineRule="atLeast"/>
        <w:rPr>
          <w:rFonts w:hint="eastAsia" w:ascii="方正黑体_GBK" w:hAnsi="方正黑体_GBK" w:eastAsia="方正黑体_GBK" w:cs="方正黑体_GBK"/>
          <w:b/>
          <w:color w:val="auto"/>
          <w:spacing w:val="10"/>
          <w:sz w:val="15"/>
          <w:u w:val="single"/>
        </w:rPr>
      </w:pPr>
    </w:p>
    <w:p>
      <w:pPr>
        <w:pStyle w:val="15"/>
        <w:spacing w:line="0" w:lineRule="atLeast"/>
        <w:rPr>
          <w:rFonts w:hint="eastAsia" w:ascii="方正黑体_GBK" w:hAnsi="方正黑体_GBK" w:eastAsia="方正黑体_GBK" w:cs="方正黑体_GBK"/>
          <w:b/>
          <w:color w:val="auto"/>
          <w:spacing w:val="10"/>
          <w:sz w:val="15"/>
          <w:szCs w:val="15"/>
          <w:u w:val="single"/>
        </w:rPr>
      </w:pPr>
    </w:p>
    <w:p>
      <w:pPr>
        <w:spacing w:line="0" w:lineRule="atLeast"/>
        <w:jc w:val="center"/>
        <w:rPr>
          <w:rFonts w:hint="eastAsia" w:ascii="方正黑体_GBK" w:hAnsi="方正黑体_GBK" w:eastAsia="方正黑体_GBK" w:cs="方正黑体_GBK"/>
          <w:b/>
          <w:bCs/>
          <w:sz w:val="24"/>
          <w:szCs w:val="15"/>
        </w:rPr>
        <w:sectPr>
          <w:headerReference r:id="rId5" w:type="default"/>
          <w:footerReference r:id="rId6" w:type="default"/>
          <w:pgSz w:w="11906" w:h="16838"/>
          <w:pgMar w:top="720" w:right="720" w:bottom="720" w:left="720" w:header="510" w:footer="624" w:gutter="0"/>
          <w:cols w:space="720" w:num="1"/>
          <w:docGrid w:type="lines" w:linePitch="312" w:charSpace="0"/>
        </w:sect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u w:val="single"/>
        </w:rPr>
      </w:pPr>
      <w:r>
        <w:rPr>
          <w:rFonts w:hint="eastAsia" w:ascii="方正黑体_GBK" w:hAnsi="方正黑体_GBK" w:eastAsia="方正黑体_GBK" w:cs="方正黑体_GBK"/>
          <w:szCs w:val="21"/>
        </w:rPr>
        <w:t>编制单位：</w:t>
      </w:r>
      <w:r>
        <w:rPr>
          <w:rFonts w:hint="eastAsia" w:ascii="方正黑体_GBK" w:hAnsi="方正黑体_GBK" w:eastAsia="方正黑体_GBK" w:cs="方正黑体_GBK"/>
          <w:szCs w:val="21"/>
          <w:u w:val="single"/>
        </w:rPr>
        <w:t>南银理财有限责任公司</w:t>
      </w:r>
    </w:p>
    <w:p>
      <w:pPr>
        <w:tabs>
          <w:tab w:val="left" w:pos="0"/>
        </w:tabs>
        <w:spacing w:line="240" w:lineRule="auto"/>
        <w:ind w:left="0" w:firstLine="0" w:firstLineChars="0"/>
        <w:jc w:val="center"/>
        <w:rPr>
          <w:rFonts w:hint="eastAsia" w:ascii="方正黑体_GBK" w:hAnsi="方正黑体_GBK" w:eastAsia="方正黑体_GBK" w:cs="方正黑体_GBK"/>
          <w:szCs w:val="21"/>
          <w:u w:val="single"/>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Cs w:val="21"/>
        </w:rPr>
        <w:t>版次号：</w:t>
      </w:r>
      <w:r>
        <w:rPr>
          <w:rFonts w:hint="eastAsia" w:ascii="方正黑体_GBK" w:hAnsi="方正黑体_GBK" w:eastAsia="方正黑体_GBK" w:cs="方正黑体_GBK"/>
          <w:szCs w:val="21"/>
          <w:u w:val="single"/>
        </w:rPr>
        <w:t>2021第2版</w:t>
      </w:r>
    </w:p>
    <w:p>
      <w:pPr>
        <w:adjustRightInd w:val="0"/>
        <w:snapToGrid w:val="0"/>
        <w:spacing w:line="0" w:lineRule="atLeast"/>
        <w:rPr>
          <w:rFonts w:hint="eastAsia" w:ascii="方正黑体_GBK" w:hAnsi="方正黑体_GBK" w:eastAsia="方正黑体_GBK" w:cs="方正黑体_GBK"/>
          <w:b/>
          <w:bCs/>
          <w:szCs w:val="21"/>
        </w:rPr>
      </w:pPr>
      <w:bookmarkStart w:id="0" w:name="_Toc310243214"/>
      <w:bookmarkEnd w:id="0"/>
      <w:bookmarkStart w:id="1" w:name="_Toc310836822"/>
      <w:bookmarkEnd w:id="1"/>
      <w:bookmarkStart w:id="2" w:name="_Toc310770513"/>
      <w:bookmarkEnd w:id="2"/>
      <w:bookmarkStart w:id="3" w:name="_Toc310770285"/>
      <w:bookmarkEnd w:id="3"/>
      <w:bookmarkStart w:id="4" w:name="_Toc310770511"/>
      <w:bookmarkEnd w:id="4"/>
      <w:bookmarkStart w:id="5" w:name="_Toc310770284"/>
      <w:bookmarkEnd w:id="5"/>
      <w:bookmarkStart w:id="6" w:name="_Toc310836824"/>
      <w:bookmarkEnd w:id="6"/>
      <w:bookmarkStart w:id="7" w:name="_Toc310770283"/>
      <w:bookmarkEnd w:id="7"/>
      <w:bookmarkStart w:id="8" w:name="_Toc310773100"/>
      <w:bookmarkEnd w:id="8"/>
      <w:bookmarkStart w:id="9" w:name="_Toc310773099"/>
      <w:bookmarkEnd w:id="9"/>
      <w:bookmarkStart w:id="10" w:name="_Toc310243215"/>
      <w:bookmarkEnd w:id="10"/>
      <w:bookmarkStart w:id="11" w:name="_Toc310836823"/>
      <w:bookmarkEnd w:id="11"/>
      <w:bookmarkStart w:id="12" w:name="_Toc310773098"/>
      <w:bookmarkEnd w:id="12"/>
      <w:bookmarkStart w:id="13" w:name="_Toc310243213"/>
      <w:bookmarkEnd w:id="13"/>
      <w:bookmarkStart w:id="14" w:name="_Toc310770512"/>
      <w:bookmarkEnd w:id="14"/>
      <w:bookmarkStart w:id="15" w:name="_Toc310770287"/>
      <w:bookmarkEnd w:id="15"/>
      <w:r>
        <w:rPr>
          <w:rFonts w:hint="eastAsia" w:ascii="方正黑体_GBK" w:hAnsi="方正黑体_GBK" w:eastAsia="方正黑体_GBK" w:cs="方正黑体_GBK"/>
          <w:b/>
          <w:bCs/>
          <w:szCs w:val="21"/>
        </w:rPr>
        <w:t>风险提示：</w:t>
      </w:r>
    </w:p>
    <w:p>
      <w:pPr>
        <w:adjustRightInd w:val="0"/>
        <w:snapToGrid w:val="0"/>
        <w:spacing w:line="0" w:lineRule="atLeast"/>
        <w:rPr>
          <w:rFonts w:hint="eastAsia" w:ascii="方正黑体_GBK" w:hAnsi="方正黑体_GBK" w:eastAsia="方正黑体_GBK" w:cs="方正黑体_GBK"/>
          <w:b/>
          <w:bCs/>
          <w:szCs w:val="21"/>
        </w:rPr>
      </w:pPr>
      <w:r>
        <w:rPr>
          <w:rFonts w:hint="eastAsia" w:ascii="方正黑体_GBK" w:hAnsi="方正黑体_GBK" w:eastAsia="方正黑体_GBK" w:cs="方正黑体_GBK"/>
          <w:b/>
          <w:bCs/>
          <w:szCs w:val="21"/>
        </w:rPr>
        <w:t>本理财产品是净值型理财产品，不保证本金和收益，投资者的本金与收益可能会因市场变动而蒙受重大损失，投资者应仔细阅读本理财产品销售协议书条款和对应期次的《理财产品说明书》《理财产品风险揭示书》</w:t>
      </w:r>
      <w:bookmarkStart w:id="16" w:name="_Hlk41679176"/>
      <w:r>
        <w:rPr>
          <w:rFonts w:hint="eastAsia" w:ascii="方正黑体_GBK" w:hAnsi="方正黑体_GBK" w:eastAsia="方正黑体_GBK" w:cs="方正黑体_GBK"/>
          <w:b/>
          <w:bCs/>
          <w:szCs w:val="21"/>
        </w:rPr>
        <w:t>《投资者权益须知》</w:t>
      </w:r>
      <w:bookmarkEnd w:id="16"/>
      <w:r>
        <w:rPr>
          <w:rFonts w:hint="eastAsia" w:ascii="方正黑体_GBK" w:hAnsi="方正黑体_GBK" w:eastAsia="方正黑体_GBK" w:cs="方正黑体_GBK"/>
          <w:b/>
          <w:bCs/>
          <w:szCs w:val="21"/>
        </w:rPr>
        <w:t>《理财产品投资协议书》，充分认识投资风险，谨慎投资。</w:t>
      </w:r>
    </w:p>
    <w:p>
      <w:pPr>
        <w:tabs>
          <w:tab w:val="left" w:pos="7920"/>
          <w:tab w:val="left" w:pos="8100"/>
        </w:tabs>
        <w:spacing w:line="0" w:lineRule="atLeast"/>
        <w:rPr>
          <w:rFonts w:hint="eastAsia" w:ascii="方正黑体_GBK" w:hAnsi="方正黑体_GBK" w:eastAsia="方正黑体_GBK" w:cs="方正黑体_GBK"/>
          <w:b/>
          <w:bCs/>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spacing w:line="200" w:lineRule="exact"/>
        <w:ind w:firstLine="300" w:firstLineChars="200"/>
        <w:rPr>
          <w:rFonts w:hint="eastAsia" w:ascii="方正黑体_GBK" w:hAnsi="方正黑体_GBK" w:eastAsia="方正黑体_GBK" w:cs="方正黑体_GBK"/>
          <w:sz w:val="15"/>
          <w:szCs w:val="15"/>
        </w:rPr>
      </w:pPr>
    </w:p>
    <w:p>
      <w:pPr>
        <w:spacing w:line="200" w:lineRule="exact"/>
        <w:ind w:firstLine="300" w:firstLineChars="2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经甲方（南银理财有限责任公司，以下简称“南银理财”、“</w:t>
      </w:r>
      <w:r>
        <w:rPr>
          <w:rFonts w:hint="eastAsia" w:ascii="方正黑体_GBK" w:hAnsi="方正黑体_GBK" w:eastAsia="方正黑体_GBK" w:cs="方正黑体_GBK"/>
          <w:color w:val="3D3D3D"/>
          <w:sz w:val="15"/>
          <w:szCs w:val="15"/>
        </w:rPr>
        <w:t>管理人”、“产品管理人”或“理财产品管理人</w:t>
      </w:r>
      <w:r>
        <w:rPr>
          <w:rFonts w:hint="eastAsia" w:ascii="方正黑体_GBK" w:hAnsi="方正黑体_GBK" w:eastAsia="方正黑体_GBK" w:cs="方正黑体_GBK"/>
          <w:sz w:val="15"/>
          <w:szCs w:val="15"/>
        </w:rPr>
        <w:t>”）与乙方（以下简称“投资者”）双方平等友好协商，本着平等自愿、诚实守信的原则，就乙方购买甲方管理的理财产品的有关事宜达成协议如下：</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名词释义</w:t>
      </w:r>
    </w:p>
    <w:p>
      <w:pPr>
        <w:pStyle w:val="35"/>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本协议项下用词与对应期次的《理财产品说明书》中相关用词含义一致，本协议另有说明的除外。</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        】作为本理财产品的销售机构，负责本理财产品的销售。</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甲方的权利与义务：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甲方应当履行恪尽职守、勤勉尽责、诚实守信、有效管理的义务。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甲方应当按照理财产品销售文件的约定向投资者分配收益。</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甲方应当按照法律法规、理财产品销售文件的约定履行信息披露义务。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甲方应当确保理财业务与其他业务相分离，理财产品之间相分离，理财业务操作与其他业务操作相分离。</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甲方应当遵守市场交易和公平交易原则，不得在理财产品之间、理财产品投资者之间或者理财产品投资者与其他市场主体之间进行利益输送。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甲方应当选择具有证券投资基金托管业务资格的金融机构、银行业理财登记托管机构或者国务院银行业监督管理机构认可的其他机构托管理财产品。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在本协议约定的投资范围和权限内，甲方拥有管理和运用理财资金的权利，并有权按照对应期次《理财产品说明书》的约定收取相应费用、业绩报酬。</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甲方有权根据产品运作的需要选任必要的业务合作机构。</w:t>
      </w:r>
    </w:p>
    <w:p>
      <w:pPr>
        <w:numPr>
          <w:ilvl w:val="0"/>
          <w:numId w:val="6"/>
        </w:numPr>
        <w:spacing w:line="200" w:lineRule="exact"/>
        <w:ind w:firstLine="30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000000"/>
          <w:kern w:val="0"/>
          <w:sz w:val="15"/>
          <w:szCs w:val="11"/>
        </w:rPr>
        <w:t>投资者特此同意并授权</w:t>
      </w:r>
      <w:r>
        <w:rPr>
          <w:rFonts w:hint="eastAsia" w:ascii="方正黑体_GBK" w:hAnsi="方正黑体_GBK" w:eastAsia="方正黑体_GBK" w:cs="方正黑体_GBK"/>
          <w:b/>
          <w:bCs/>
          <w:spacing w:val="10"/>
          <w:sz w:val="15"/>
          <w:szCs w:val="15"/>
        </w:rPr>
        <w:t>甲方及销售机构</w:t>
      </w:r>
      <w:r>
        <w:rPr>
          <w:rFonts w:hint="eastAsia" w:ascii="方正黑体_GBK" w:hAnsi="方正黑体_GBK" w:eastAsia="方正黑体_GBK" w:cs="方正黑体_GBK"/>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甲方无义务对第三人支付本理财产品清算分配金额及相关权益，法律法规另有规定的除外。</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甲方以其固有财产先行垫付因处理本理财产品相关事务所支出的理财产品费用及税费的，对理财产品资金享有优先受偿的权利。</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甲方有权根据本理财产品销售文件的约定提前终止或延长本理财产品的存续期限。</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甲方有权调整本理财产品的认购或申购起点、单笔认购或申购上限等要素。</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甲方有权根据相关规定及销售文件的约定，变更销售文件内容。</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bookmarkStart w:id="17" w:name="_Hlk41902117"/>
      <w:r>
        <w:rPr>
          <w:rFonts w:hint="eastAsia" w:ascii="方正黑体_GBK" w:hAnsi="方正黑体_GBK" w:eastAsia="方正黑体_GBK" w:cs="方正黑体_GBK"/>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ascii="方正黑体_GBK" w:hAnsi="方正黑体_GBK" w:eastAsia="方正黑体_GBK" w:cs="方正黑体_GBK"/>
          <w:b/>
          <w:spacing w:val="10"/>
          <w:sz w:val="15"/>
        </w:rPr>
        <w:t>，由此产生的一切损失及费用将由乙方承担，甲方或销售机构有权将此损失及费用从乙方的授权指定账户、理财本金及收益中扣除</w:t>
      </w:r>
      <w:r>
        <w:rPr>
          <w:rFonts w:hint="eastAsia" w:ascii="方正黑体_GBK" w:hAnsi="方正黑体_GBK" w:eastAsia="方正黑体_GBK" w:cs="方正黑体_GBK"/>
          <w:b/>
          <w:bCs/>
          <w:spacing w:val="10"/>
          <w:sz w:val="15"/>
          <w:szCs w:val="15"/>
        </w:rPr>
        <w:t>。</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甲方或销售机构发现或有合理理由怀疑乙方或其资金存在洗钱、恐怖融资、逃税等嫌疑，甲方有权提前终止本协议。</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甲方在此特别披露：</w:t>
      </w:r>
      <w:r>
        <w:rPr>
          <w:rFonts w:hint="eastAsia" w:ascii="方正黑体_GBK" w:hAnsi="方正黑体_GBK" w:eastAsia="方正黑体_GBK" w:cs="方正黑体_GBK"/>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bookmarkEnd w:id="17"/>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w:t>
      </w:r>
      <w:bookmarkStart w:id="18" w:name="_Hlk41902131"/>
      <w:r>
        <w:rPr>
          <w:rFonts w:hint="eastAsia" w:ascii="方正黑体_GBK" w:hAnsi="方正黑体_GBK" w:eastAsia="方正黑体_GBK" w:cs="方正黑体_GBK"/>
          <w:spacing w:val="10"/>
          <w:sz w:val="15"/>
          <w:szCs w:val="15"/>
        </w:rPr>
        <w:t>理财产品</w:t>
      </w:r>
      <w:bookmarkEnd w:id="18"/>
      <w:r>
        <w:rPr>
          <w:rFonts w:hint="eastAsia" w:ascii="方正黑体_GBK" w:hAnsi="方正黑体_GBK" w:eastAsia="方正黑体_GBK" w:cs="方正黑体_GBK"/>
          <w:spacing w:val="10"/>
          <w:sz w:val="15"/>
          <w:szCs w:val="15"/>
        </w:rPr>
        <w:t>销售文件约定的其他权利与义务。</w:t>
      </w:r>
    </w:p>
    <w:p>
      <w:pPr>
        <w:spacing w:line="200" w:lineRule="exact"/>
        <w:ind w:left="341"/>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4.乙方的权利与义务：</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乙方应当保证其理财资金为合法拥有的自有资金，不存在涉嫌洗钱、恶意逃避税收征收管理等违法违规行为，保证可提供资金来源合法的证明文件</w:t>
      </w:r>
      <w:bookmarkStart w:id="19" w:name="_Hlk41902537"/>
      <w:r>
        <w:rPr>
          <w:rFonts w:hint="eastAsia" w:ascii="方正黑体_GBK" w:hAnsi="方正黑体_GBK" w:eastAsia="方正黑体_GBK" w:cs="方正黑体_GBK"/>
          <w:spacing w:val="10"/>
          <w:sz w:val="15"/>
          <w:szCs w:val="15"/>
        </w:rPr>
        <w:t>，配合甲方或销售机构为识别合格投资者等目的进行的尽职调查。</w:t>
      </w:r>
    </w:p>
    <w:bookmarkEnd w:id="19"/>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乙方保证具有完全民事行为能力，有完全适当的资格与能力订立并履行本协议。</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乙方应接受销售机构对其投资风险承受能力进行的测评。（个人投资者适用）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乙方保证，乙方系符合监管规定要求的合格投资者。（私募产品投资者适用）</w:t>
      </w:r>
    </w:p>
    <w:p>
      <w:pPr>
        <w:numPr>
          <w:ilvl w:val="0"/>
          <w:numId w:val="7"/>
        </w:numPr>
        <w:spacing w:line="200" w:lineRule="exact"/>
        <w:ind w:firstLine="34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乙方保证签署和履行理财产品销售文件系其真实意思表示，其有权利签署本协议和履行本协议所述的义务，并已为此采取一切所需的行为。</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w:t>
      </w:r>
      <w:bookmarkStart w:id="20" w:name="_Hlk41902655"/>
      <w:r>
        <w:rPr>
          <w:rFonts w:hint="eastAsia" w:ascii="方正黑体_GBK" w:hAnsi="方正黑体_GBK" w:eastAsia="方正黑体_GBK" w:cs="方正黑体_GBK"/>
          <w:spacing w:val="10"/>
          <w:sz w:val="15"/>
          <w:szCs w:val="15"/>
        </w:rPr>
        <w:t>或其他法律文件</w:t>
      </w:r>
      <w:bookmarkEnd w:id="20"/>
      <w:r>
        <w:rPr>
          <w:rFonts w:hint="eastAsia" w:ascii="方正黑体_GBK" w:hAnsi="方正黑体_GBK" w:eastAsia="方正黑体_GBK" w:cs="方正黑体_GBK"/>
          <w:spacing w:val="10"/>
          <w:sz w:val="15"/>
          <w:szCs w:val="15"/>
        </w:rPr>
        <w:t>。乙方应在签署本协议的同时按照对应期次的《理财产品说明书》的约定在授权指定账户存入足额的资金以确保账户余额大于或等于认购或申购金额。</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乙方应按要求确定授权指定账户，用于本理财产品的理财资金划转及理财收益、到期清算分配资金的分配。</w:t>
      </w:r>
      <w:r>
        <w:rPr>
          <w:rFonts w:hint="eastAsia" w:ascii="方正黑体_GBK" w:hAnsi="方正黑体_GBK" w:eastAsia="方正黑体_GBK" w:cs="方正黑体_GBK"/>
          <w:b/>
          <w:spacing w:val="10"/>
          <w:sz w:val="15"/>
        </w:rPr>
        <w:t>本协议终止前，乙方不得将授权指定账户销户。若发生因乙方注销授权指定账户造成理财产品无法正常分配的，乙方承担由此产生的损失。</w:t>
      </w:r>
    </w:p>
    <w:p>
      <w:pPr>
        <w:pStyle w:val="7"/>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乙方应确保其提供的所有资料真实、完整、合法、有效，如果有任何变更，乙方应及时通知甲方</w:t>
      </w:r>
      <w:bookmarkStart w:id="21" w:name="_Hlk41902715"/>
      <w:r>
        <w:rPr>
          <w:rFonts w:hint="eastAsia" w:ascii="方正黑体_GBK" w:hAnsi="方正黑体_GBK" w:eastAsia="方正黑体_GBK" w:cs="方正黑体_GBK"/>
          <w:b/>
          <w:bCs/>
          <w:spacing w:val="10"/>
          <w:sz w:val="15"/>
          <w:szCs w:val="15"/>
        </w:rPr>
        <w:t>或销售机构</w:t>
      </w:r>
      <w:bookmarkEnd w:id="21"/>
      <w:r>
        <w:rPr>
          <w:rFonts w:hint="eastAsia" w:ascii="方正黑体_GBK" w:hAnsi="方正黑体_GBK" w:eastAsia="方正黑体_GBK" w:cs="方正黑体_GBK"/>
          <w:b/>
          <w:bCs/>
          <w:spacing w:val="10"/>
          <w:sz w:val="15"/>
          <w:szCs w:val="15"/>
        </w:rPr>
        <w:t>并办理变更手续。如因乙方未及时通知甲方或销售机构并办理相应的变更手续，由此导致的一切后果由乙方承担。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乙方承诺，不利用本理财业务及本理财产品说明书项下理财产品从事违法活动。</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乙方承诺，未经产品管理人同意，乙方不向任何第三人转让、赠与本理财产品说明书或本理财产品说明书项下的任何权利、义务、利益、权益</w:t>
      </w:r>
      <w:r>
        <w:rPr>
          <w:rFonts w:hint="eastAsia" w:ascii="方正黑体_GBK" w:hAnsi="方正黑体_GBK" w:eastAsia="方正黑体_GBK" w:cs="方正黑体_GBK"/>
          <w:spacing w:val="10"/>
          <w:sz w:val="15"/>
          <w:szCs w:val="15"/>
        </w:rPr>
        <w:t>。</w:t>
      </w:r>
      <w:bookmarkStart w:id="22" w:name="_Hlk41902728"/>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ascii="方正黑体_GBK" w:hAnsi="方正黑体_GBK" w:eastAsia="方正黑体_GBK" w:cs="方正黑体_GBK"/>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乙方已充分知悉对应期次理财产品风险等级</w:t>
      </w:r>
      <w:r>
        <w:rPr>
          <w:rFonts w:hint="eastAsia" w:ascii="方正黑体_GBK" w:hAnsi="方正黑体_GBK" w:eastAsia="方正黑体_GBK" w:cs="方正黑体_GBK"/>
          <w:b/>
          <w:bCs/>
          <w:spacing w:val="10"/>
          <w:sz w:val="15"/>
          <w:szCs w:val="15"/>
        </w:rPr>
        <w:t>（该产品通过代理销售机构渠道销售的，理财产品评级应当以代理销售机构最终披露的评级结果为准）</w:t>
      </w:r>
      <w:r>
        <w:rPr>
          <w:rFonts w:hint="eastAsia" w:ascii="方正黑体_GBK" w:hAnsi="方正黑体_GBK" w:eastAsia="方正黑体_GBK" w:cs="方正黑体_GBK"/>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乙方对因购买、持有本理财产品而知悉的甲方及销售机构保密信息承担保密义务，乙方承诺不以任何方式向任何第三方披露甲方的保密信息，法律法规另有规定的除外。</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法律法规规定及理财产品销售文件中约定的其他权利与义务。</w:t>
      </w:r>
      <w:bookmarkEnd w:id="22"/>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5.产品认购或申购、赎回</w:t>
      </w:r>
    </w:p>
    <w:p>
      <w:pPr>
        <w:numPr>
          <w:ilvl w:val="0"/>
          <w:numId w:val="8"/>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理财产品认购或申购：参照《投资者权益须知》约定。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理财产品认购或申购撤销申请：乙方在理财产品募集期或开放期或投资冷静期（私募产品适用）内，可以撤销理财产品相应的认购或申购申请。</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理财产品投资品种、投资起点金额、收益支付方式：参照对应期次的《理财产品说明书》中的约定。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理财产品赎回</w:t>
      </w:r>
      <w:bookmarkStart w:id="23" w:name="_Hlk41902781"/>
      <w:r>
        <w:rPr>
          <w:rFonts w:hint="eastAsia" w:ascii="方正黑体_GBK" w:hAnsi="方正黑体_GBK" w:eastAsia="方正黑体_GBK" w:cs="方正黑体_GBK"/>
          <w:spacing w:val="10"/>
          <w:sz w:val="15"/>
          <w:szCs w:val="15"/>
        </w:rPr>
        <w:t>资金支付</w:t>
      </w:r>
      <w:bookmarkEnd w:id="23"/>
      <w:r>
        <w:rPr>
          <w:rFonts w:hint="eastAsia" w:ascii="方正黑体_GBK" w:hAnsi="方正黑体_GBK" w:eastAsia="方正黑体_GBK" w:cs="方正黑体_GBK"/>
          <w:spacing w:val="10"/>
          <w:sz w:val="15"/>
          <w:szCs w:val="15"/>
        </w:rPr>
        <w:t>：在正常情况下，甲方将按照本协议及对应期次的《理财产品说明书》的相关约定</w:t>
      </w:r>
      <w:bookmarkStart w:id="24" w:name="_Hlk41902803"/>
      <w:r>
        <w:rPr>
          <w:rFonts w:hint="eastAsia" w:ascii="方正黑体_GBK" w:hAnsi="方正黑体_GBK" w:eastAsia="方正黑体_GBK" w:cs="方正黑体_GBK"/>
          <w:spacing w:val="10"/>
          <w:sz w:val="15"/>
          <w:szCs w:val="15"/>
        </w:rPr>
        <w:t>进行赎回资金</w:t>
      </w:r>
      <w:bookmarkEnd w:id="24"/>
      <w:r>
        <w:rPr>
          <w:rFonts w:hint="eastAsia" w:ascii="方正黑体_GBK" w:hAnsi="方正黑体_GBK" w:eastAsia="方正黑体_GBK" w:cs="方正黑体_GBK"/>
          <w:spacing w:val="10"/>
          <w:sz w:val="15"/>
          <w:szCs w:val="15"/>
        </w:rPr>
        <w:t>划付。</w:t>
      </w:r>
      <w:r>
        <w:rPr>
          <w:rFonts w:hint="eastAsia" w:ascii="方正黑体_GBK" w:hAnsi="方正黑体_GBK" w:eastAsia="方正黑体_GBK" w:cs="方正黑体_GBK"/>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6.产品的终止</w:t>
      </w:r>
    </w:p>
    <w:p>
      <w:pPr>
        <w:spacing w:line="200" w:lineRule="exact"/>
        <w:ind w:firstLine="300" w:firstLineChars="2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（1）理财产品提前终止</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在理财产品存续期内，如发生以下事项时，南银理财可对本理财产品行使全部提前终止权：</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如因本理财产品资产运作模式、投资资产等与法律法规、规章的规定或者监管部门的要求等存在冲突导致理财产品必须提前终止的；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国家有关法律、法规、规章、监管规定、政策的改变、紧急措施的出台、理财市场环境发生重大变化等导致理财产品必须提前终止的；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因不可抗力因素导致本理财产品必须提前终止的；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遇有市场出现剧烈波动、异常风险事件等情形导致理财产品收益出现大幅波动或严重影响理财产品的资产安全；</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因管理人解散、破产、撤销、被取消业务资格等原因无法继续履行相应职责导致产品无法继续运作；</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理财产品所投资资产部分或全部提前偿付；</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提前终止产品比维持产品运作更有利于保护产品持有人的权益；</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南银理财合理认为应该提前终止本理财产品的其他情况。</w:t>
      </w:r>
    </w:p>
    <w:p>
      <w:pPr>
        <w:pStyle w:val="35"/>
        <w:spacing w:line="200" w:lineRule="exact"/>
        <w:ind w:left="340" w:firstLine="0"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南银理财如提前终止本理财产品，应根据本理财产品销售文件约定的方式进行信息披露。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（2）理财产品的延期终止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在理财产品存续期内，如发生以下事项时，南银理财有权推迟本理财产品终止日：</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产品到期日遇非工作日，产品到期日顺延至下一工作日；</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因市场成交量不足、资产限制赎回、暂停交易、缺乏意愿交易对手等原因，导致产品所投资的资产无法及时全部变现；</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因资金在途等原因，导致未能及时收回资金；</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因不可抗力等原因，导致管理人无法及时收回资金及/或进行理财资金清算分配的；</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理财产品资产涉及诉讼（或仲裁），且预计诉讼（或仲裁）及执行程序于理财产品名义到期日尚未终结；</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其他管理人认为需要延期的情形；</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法律规定的及本理财产品销售文件约定的其他情形。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spacing w:val="10"/>
          <w:sz w:val="15"/>
          <w:szCs w:val="15"/>
        </w:rPr>
        <w:t>南银理财</w:t>
      </w:r>
      <w:r>
        <w:rPr>
          <w:rFonts w:hint="eastAsia" w:ascii="方正黑体_GBK" w:hAnsi="方正黑体_GBK" w:eastAsia="方正黑体_GBK" w:cs="方正黑体_GBK"/>
          <w:bCs/>
          <w:spacing w:val="10"/>
          <w:sz w:val="15"/>
          <w:szCs w:val="15"/>
        </w:rPr>
        <w:t>如推迟本理财产品到期日，应根据本理财产品销售文件约定的方式进行信息披露。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 xml:space="preserve">7.产品资产的清算 </w:t>
      </w:r>
    </w:p>
    <w:p>
      <w:pPr>
        <w:spacing w:line="200" w:lineRule="exact"/>
        <w:ind w:firstLine="340"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Cs/>
          <w:spacing w:val="10"/>
          <w:sz w:val="15"/>
          <w:szCs w:val="15"/>
        </w:rPr>
        <w:t>自本理财产品终止日至投资者理财本金及收益到账日之间为本理财产品的清算期，</w:t>
      </w:r>
      <w:r>
        <w:rPr>
          <w:rFonts w:hint="eastAsia" w:ascii="方正黑体_GBK" w:hAnsi="方正黑体_GBK" w:eastAsia="方正黑体_GBK" w:cs="方正黑体_GBK"/>
          <w:b/>
          <w:spacing w:val="10"/>
          <w:sz w:val="15"/>
          <w:szCs w:val="15"/>
        </w:rPr>
        <w:t>清算期不计算利息或投资收益</w:t>
      </w:r>
      <w:r>
        <w:rPr>
          <w:rFonts w:hint="eastAsia" w:ascii="方正黑体_GBK" w:hAnsi="方正黑体_GBK" w:eastAsia="方正黑体_GBK" w:cs="方正黑体_GBK"/>
          <w:bCs/>
          <w:spacing w:val="10"/>
          <w:sz w:val="15"/>
          <w:szCs w:val="15"/>
        </w:rPr>
        <w:t>。</w:t>
      </w:r>
      <w:r>
        <w:rPr>
          <w:rFonts w:hint="eastAsia" w:ascii="方正黑体_GBK" w:hAnsi="方正黑体_GBK" w:eastAsia="方正黑体_GBK" w:cs="方正黑体_GBK"/>
          <w:b/>
          <w:spacing w:val="10"/>
          <w:sz w:val="15"/>
          <w:szCs w:val="15"/>
        </w:rPr>
        <w:t>甲方将根据对应期次《理财产品说明书》的约定将理财产品清算变现，</w:t>
      </w: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清算期原则上不得超过5个工作日，因清算期超过5个工作日的，应当在理财产品终止前，将依约定进行公告。</w:t>
      </w:r>
      <w:r>
        <w:rPr>
          <w:rFonts w:hint="eastAsia" w:ascii="方正黑体_GBK" w:hAnsi="方正黑体_GBK" w:eastAsia="方正黑体_GBK" w:cs="方正黑体_GBK"/>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8.特别提示</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在本理财产品存续期内：</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1"/>
        </w:numPr>
        <w:spacing w:line="200" w:lineRule="exact"/>
        <w:ind w:firstLine="341" w:firstLineChars="20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免责条款</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35"/>
        <w:numPr>
          <w:ilvl w:val="0"/>
          <w:numId w:val="12"/>
        </w:numPr>
        <w:spacing w:line="200" w:lineRule="exact"/>
        <w:ind w:firstLineChars="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bCs w:val="0"/>
          <w:spacing w:val="10"/>
          <w:sz w:val="15"/>
          <w:szCs w:val="15"/>
        </w:rPr>
        <w:t>不可抗力。如果甲方认为由于自然灾害、</w:t>
      </w:r>
      <w:bookmarkStart w:id="25" w:name="_Hlk41903042"/>
      <w:r>
        <w:rPr>
          <w:rFonts w:hint="eastAsia" w:ascii="方正黑体_GBK" w:hAnsi="方正黑体_GBK" w:eastAsia="方正黑体_GBK" w:cs="方正黑体_GBK"/>
          <w:b/>
          <w:bCs w:val="0"/>
          <w:spacing w:val="10"/>
          <w:sz w:val="15"/>
          <w:szCs w:val="15"/>
        </w:rPr>
        <w:t>地震、台风、海啸、洪水、火灾、停电、突发性公共卫生事件、</w:t>
      </w:r>
      <w:bookmarkEnd w:id="25"/>
      <w:bookmarkStart w:id="26" w:name="_Hlk41862861"/>
      <w:r>
        <w:rPr>
          <w:rFonts w:hint="eastAsia" w:ascii="方正黑体_GBK" w:hAnsi="方正黑体_GBK" w:eastAsia="方正黑体_GBK" w:cs="方正黑体_GBK"/>
          <w:b/>
          <w:bCs w:val="0"/>
          <w:spacing w:val="10"/>
          <w:sz w:val="15"/>
          <w:szCs w:val="15"/>
        </w:rPr>
        <w:t>罢工、内战、战争、军事行动、任何种类的恐怖活动、暴动、公众示威或抗议</w:t>
      </w:r>
      <w:bookmarkEnd w:id="26"/>
      <w:bookmarkStart w:id="27" w:name="_Hlk41903076"/>
      <w:r>
        <w:rPr>
          <w:rFonts w:hint="eastAsia" w:ascii="方正黑体_GBK" w:hAnsi="方正黑体_GBK" w:eastAsia="方正黑体_GBK" w:cs="方正黑体_GBK"/>
          <w:b/>
          <w:bCs w:val="0"/>
          <w:spacing w:val="10"/>
          <w:sz w:val="15"/>
          <w:szCs w:val="15"/>
        </w:rPr>
        <w:t>；新的适用法律或国家政策的颁布或实施、对原适用法律或国家政策的修改；</w:t>
      </w:r>
      <w:bookmarkEnd w:id="27"/>
      <w:bookmarkStart w:id="28" w:name="_Hlk41862959"/>
      <w:r>
        <w:rPr>
          <w:rFonts w:hint="eastAsia" w:ascii="方正黑体_GBK" w:hAnsi="方正黑体_GBK" w:eastAsia="方正黑体_GBK" w:cs="方正黑体_GBK"/>
          <w:b/>
          <w:bCs w:val="0"/>
          <w:spacing w:val="10"/>
          <w:sz w:val="15"/>
          <w:szCs w:val="15"/>
        </w:rPr>
        <w:t>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w:t>
      </w:r>
      <w:bookmarkEnd w:id="28"/>
      <w:r>
        <w:rPr>
          <w:rFonts w:hint="eastAsia" w:ascii="方正黑体_GBK" w:hAnsi="方正黑体_GBK" w:eastAsia="方正黑体_GBK" w:cs="方正黑体_GBK"/>
          <w:b/>
          <w:bCs w:val="0"/>
          <w:spacing w:val="10"/>
          <w:sz w:val="15"/>
          <w:szCs w:val="15"/>
        </w:rPr>
        <w:t>；</w:t>
      </w:r>
      <w:bookmarkStart w:id="29" w:name="_Hlk41903087"/>
      <w:r>
        <w:rPr>
          <w:rFonts w:hint="eastAsia" w:ascii="方正黑体_GBK" w:hAnsi="方正黑体_GBK" w:eastAsia="方正黑体_GBK" w:cs="方正黑体_GBK"/>
          <w:b/>
          <w:bCs w:val="0"/>
          <w:spacing w:val="10"/>
          <w:sz w:val="15"/>
          <w:szCs w:val="15"/>
        </w:rPr>
        <w:t>因理财产品各方和/或其关联方运营网络系统遭受黑客攻击、电信部门技术调整或故障等原因而造成的理财产品各方和/或其关联方之服务、营业的中断或者延迟;</w:t>
      </w:r>
      <w:bookmarkEnd w:id="29"/>
      <w:r>
        <w:rPr>
          <w:rFonts w:hint="eastAsia" w:ascii="方正黑体_GBK" w:hAnsi="方正黑体_GBK" w:eastAsia="方正黑体_GBK" w:cs="方正黑体_GBK"/>
          <w:b/>
          <w:bCs w:val="0"/>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本理财产品销售文件项下理财业务不受销售机构存款保险机制或其他保障机制保障。</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赔偿</w:t>
      </w:r>
      <w:r>
        <w:rPr>
          <w:rFonts w:hint="eastAsia" w:ascii="方正黑体_GBK" w:hAnsi="方正黑体_GBK" w:eastAsia="方正黑体_GBK" w:cs="方正黑体_GBK"/>
          <w:spacing w:val="10"/>
          <w:sz w:val="15"/>
          <w:szCs w:val="15"/>
        </w:rPr>
        <w:t>及责任限制</w:t>
      </w:r>
    </w:p>
    <w:p>
      <w:pPr>
        <w:spacing w:line="200" w:lineRule="exact"/>
        <w:ind w:firstLine="340" w:firstLineChars="200"/>
        <w:rPr>
          <w:rFonts w:hint="eastAsia" w:ascii="方正黑体_GBK" w:hAnsi="方正黑体_GBK" w:eastAsia="方正黑体_GBK" w:cs="方正黑体_GBK"/>
          <w:spacing w:val="10"/>
          <w:sz w:val="15"/>
          <w:szCs w:val="15"/>
        </w:rPr>
      </w:pPr>
      <w:bookmarkStart w:id="30" w:name="_Hlk50135417"/>
      <w:r>
        <w:rPr>
          <w:rFonts w:hint="eastAsia" w:ascii="方正黑体_GBK" w:hAnsi="方正黑体_GBK" w:eastAsia="方正黑体_GBK" w:cs="方正黑体_GBK"/>
          <w:spacing w:val="10"/>
          <w:sz w:val="15"/>
          <w:szCs w:val="15"/>
        </w:rPr>
        <w:t>由于本协议一方当事人的过错，造成本协议不能履行或不能完全履行的，由有过错的一方承担违约责任；如双方同时负有过错，则应由双方各自按照过错程度承担责任。</w:t>
      </w:r>
      <w:bookmarkEnd w:id="30"/>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ascii="方正黑体_GBK" w:hAnsi="方正黑体_GBK" w:eastAsia="方正黑体_GBK" w:cs="方正黑体_GBK"/>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ascii="方正黑体_GBK" w:hAnsi="方正黑体_GBK" w:eastAsia="方正黑体_GBK" w:cs="方正黑体_GBK"/>
          <w:spacing w:val="10"/>
          <w:sz w:val="15"/>
          <w:szCs w:val="15"/>
        </w:rPr>
        <w:t>。</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抵销</w:t>
      </w:r>
    </w:p>
    <w:p>
      <w:pPr>
        <w:pStyle w:val="35"/>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ascii="方正黑体_GBK" w:hAnsi="方正黑体_GBK" w:eastAsia="方正黑体_GBK" w:cs="方正黑体_GBK"/>
          <w:bCs/>
          <w:spacing w:val="10"/>
          <w:sz w:val="15"/>
          <w:szCs w:val="15"/>
        </w:rPr>
        <w:t>。</w:t>
      </w:r>
    </w:p>
    <w:p>
      <w:pPr>
        <w:pStyle w:val="35"/>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弃权</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可分割性</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协议的任何条款在任何方面的非法、无效或不可强制执行，不影响协议的其他条款的合法性、有效性或可强制执行。</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税收条款</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以对应期次的《理财产品说明书》约定的税务处理方式为准，如遇国家政策调整则相应执行最新政策。</w:t>
      </w:r>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9.争议处理</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本协议在履行过程中发生争议，可以通过协商解决；协商不成的，任何一方有权向甲方所在地有管辖权的人民法院提起诉讼。</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10.协议的生效和终止</w:t>
      </w:r>
    </w:p>
    <w:p>
      <w:pPr>
        <w:numPr>
          <w:ilvl w:val="0"/>
          <w:numId w:val="14"/>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ascii="方正黑体_GBK" w:hAnsi="方正黑体_GBK" w:eastAsia="方正黑体_GBK" w:cs="方正黑体_GBK"/>
          <w:b/>
          <w:bCs/>
          <w:spacing w:val="10"/>
          <w:sz w:val="15"/>
          <w:szCs w:val="15"/>
        </w:rPr>
        <w:t>电子渠道所生成和保留记载的相关电子数据及交易记录以及销售机构、托管机构、甲方制作或保留的相关电子及纸质单据、凭证、记录等相关资料,构成有效证明甲乙双方之间权利义务关系的确定证据，乙方无条件认可电子数据的有效性和证据效力。</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11.乙方声明</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ascii="方正黑体_GBK" w:hAnsi="方正黑体_GBK" w:eastAsia="方正黑体_GBK" w:cs="方正黑体_GBK"/>
          <w:b/>
          <w:bCs/>
          <w:spacing w:val="10"/>
          <w:sz w:val="15"/>
          <w:szCs w:val="15"/>
        </w:rPr>
        <w:t>《投资者权益须知》</w:t>
      </w:r>
      <w:r>
        <w:rPr>
          <w:rFonts w:hint="eastAsia" w:ascii="方正黑体_GBK" w:hAnsi="方正黑体_GBK" w:eastAsia="方正黑体_GBK" w:cs="方正黑体_GBK"/>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12.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ind w:firstLine="340" w:firstLineChars="200"/>
        <w:rPr>
          <w:rFonts w:hint="eastAsia" w:ascii="方正黑体_GBK" w:hAnsi="方正黑体_GBK" w:eastAsia="方正黑体_GBK" w:cs="方正黑体_GBK"/>
          <w:spacing w:val="10"/>
          <w:sz w:val="15"/>
          <w:szCs w:val="15"/>
        </w:rPr>
      </w:pPr>
    </w:p>
    <w:tbl>
      <w:tblPr>
        <w:tblStyle w:val="16"/>
        <w:tblW w:w="0" w:type="auto"/>
        <w:tblInd w:w="0" w:type="dxa"/>
        <w:tblLayout w:type="fixed"/>
        <w:tblCellMar>
          <w:top w:w="0" w:type="dxa"/>
          <w:left w:w="108" w:type="dxa"/>
          <w:bottom w:w="0" w:type="dxa"/>
          <w:right w:w="108" w:type="dxa"/>
        </w:tblCellMar>
      </w:tblPr>
      <w:tblGrid>
        <w:gridCol w:w="5341"/>
        <w:gridCol w:w="5341"/>
      </w:tblGrid>
      <w:tr>
        <w:tblPrEx>
          <w:tblCellMar>
            <w:top w:w="0" w:type="dxa"/>
            <w:left w:w="108" w:type="dxa"/>
            <w:bottom w:w="0" w:type="dxa"/>
            <w:right w:w="108" w:type="dxa"/>
          </w:tblCellMar>
        </w:tblPrEx>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个人投资者（如适用）：</w:t>
            </w:r>
          </w:p>
        </w:tc>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机构投资者（如适用）：</w:t>
            </w:r>
          </w:p>
        </w:tc>
      </w:tr>
      <w:tr>
        <w:tblPrEx>
          <w:tblCellMar>
            <w:top w:w="0" w:type="dxa"/>
            <w:left w:w="108" w:type="dxa"/>
            <w:bottom w:w="0" w:type="dxa"/>
            <w:right w:w="108" w:type="dxa"/>
          </w:tblCellMar>
        </w:tblPrEx>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投资者：（签名）</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投资者：（公章或合同专用章）</w:t>
            </w: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法定代表人或授权代理人：（签名或盖章）</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680" w:firstLineChars="4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r>
    </w:tbl>
    <w:p>
      <w:pPr>
        <w:spacing w:line="200" w:lineRule="exact"/>
        <w:rPr>
          <w:rFonts w:hint="eastAsia" w:ascii="方正黑体_GBK" w:hAnsi="方正黑体_GBK" w:eastAsia="方正黑体_GBK" w:cs="方正黑体_GBK"/>
          <w:spacing w:val="10"/>
          <w:sz w:val="15"/>
          <w:szCs w:val="15"/>
        </w:rPr>
        <w:sectPr>
          <w:pgSz w:w="11906" w:h="16838"/>
          <w:pgMar w:top="720" w:right="720" w:bottom="720" w:left="720" w:header="510" w:footer="624" w:gutter="0"/>
          <w:cols w:space="720" w:num="1"/>
          <w:docGrid w:type="lines" w:linePitch="312" w:charSpace="0"/>
        </w:sectPr>
      </w:pPr>
    </w:p>
    <w:p>
      <w:pPr>
        <w:widowControl/>
        <w:jc w:val="center"/>
        <w:rPr>
          <w:rFonts w:hint="eastAsia" w:ascii="方正黑体_GBK" w:hAnsi="方正黑体_GBK" w:eastAsia="方正黑体_GBK" w:cs="方正黑体_GBK"/>
          <w:b/>
          <w:bCs/>
          <w:szCs w:val="21"/>
        </w:rPr>
      </w:pPr>
      <w:r>
        <w:rPr>
          <w:rFonts w:hint="eastAsia" w:ascii="方正黑体_GBK" w:hAnsi="方正黑体_GBK" w:eastAsia="方正黑体_GBK" w:cs="方正黑体_GBK"/>
          <w:szCs w:val="21"/>
        </w:rPr>
        <w:t>南银理财有限责任公司理财产品业务申请表</w:t>
      </w:r>
    </w:p>
    <w:tbl>
      <w:tblPr>
        <w:tblStyle w:val="16"/>
        <w:tblW w:w="10791" w:type="dxa"/>
        <w:jc w:val="center"/>
        <w:tblLayout w:type="fixed"/>
        <w:tblCellMar>
          <w:top w:w="0" w:type="dxa"/>
          <w:left w:w="108" w:type="dxa"/>
          <w:bottom w:w="0" w:type="dxa"/>
          <w:right w:w="108" w:type="dxa"/>
        </w:tblCellMar>
      </w:tblPr>
      <w:tblGrid>
        <w:gridCol w:w="2499"/>
        <w:gridCol w:w="3179"/>
        <w:gridCol w:w="1983"/>
        <w:gridCol w:w="3130"/>
      </w:tblGrid>
      <w:tr>
        <w:tblPrEx>
          <w:tblCellMar>
            <w:top w:w="0" w:type="dxa"/>
            <w:left w:w="108" w:type="dxa"/>
            <w:bottom w:w="0" w:type="dxa"/>
            <w:right w:w="108" w:type="dxa"/>
          </w:tblCellMar>
        </w:tblPrEx>
        <w:trPr>
          <w:trHeight w:val="420"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投资者名称</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507"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授权指定账户名称1</w:t>
            </w:r>
          </w:p>
        </w:tc>
        <w:tc>
          <w:tcPr>
            <w:tcW w:w="8292"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授权指定账号名称2（如需）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【根据产品自行定义添加，但涉及设立、变更、终止民事权利义务关系的条款的，应报法审。】</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51"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交易种类</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□认/申购     □赎回     □撤单认/申购   □撤单赎回  □其他</w:t>
            </w:r>
          </w:p>
        </w:tc>
      </w:tr>
      <w:tr>
        <w:tblPrEx>
          <w:tblCellMar>
            <w:top w:w="0" w:type="dxa"/>
            <w:left w:w="108" w:type="dxa"/>
            <w:bottom w:w="0" w:type="dxa"/>
            <w:right w:w="108" w:type="dxa"/>
          </w:tblCellMar>
        </w:tblPrEx>
        <w:trPr>
          <w:trHeight w:val="49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业绩比较基准</w:t>
            </w:r>
          </w:p>
        </w:tc>
        <w:tc>
          <w:tcPr>
            <w:tcW w:w="8292" w:type="dxa"/>
            <w:gridSpan w:val="3"/>
            <w:tcBorders>
              <w:top w:val="single" w:color="auto" w:sz="4" w:space="0"/>
              <w:left w:val="nil"/>
              <w:bottom w:val="single" w:color="auto" w:sz="4" w:space="0"/>
              <w:right w:val="single" w:color="000000"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以对应期次的理财产品说明书为准（特别提示：理财产品业绩比较基准不代表其未来表现，不等于理财产品实际收益，投资须谨慎）</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理财产品名称</w:t>
            </w:r>
          </w:p>
        </w:tc>
        <w:tc>
          <w:tcPr>
            <w:tcW w:w="3179"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理财产品代码</w:t>
            </w:r>
          </w:p>
        </w:tc>
        <w:tc>
          <w:tcPr>
            <w:tcW w:w="3130"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理财产品发行人</w:t>
            </w:r>
          </w:p>
        </w:tc>
        <w:tc>
          <w:tcPr>
            <w:tcW w:w="8292" w:type="dxa"/>
            <w:gridSpan w:val="3"/>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产品风险等级（甲方填写）</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□低       □  中低        □ 中等        □ 中高     □高</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交易币种</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交易金额/份额</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hAnsi="方正黑体_GBK" w:eastAsia="方正黑体_GBK" w:cs="方正黑体_GBK"/>
                <w:szCs w:val="21"/>
              </w:rPr>
            </w:pPr>
            <w:r>
              <w:rPr>
                <w:rFonts w:hint="eastAsia" w:ascii="方正黑体_GBK" w:hAnsi="方正黑体_GBK" w:eastAsia="方正黑体_GBK" w:cs="方正黑体_GBK"/>
                <w:sz w:val="20"/>
                <w:szCs w:val="20"/>
              </w:rPr>
              <w:t>划款须知</w:t>
            </w:r>
          </w:p>
        </w:tc>
        <w:tc>
          <w:tcPr>
            <w:tcW w:w="829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投资者应在认购或申购划款日（理财产品销售文件规定的交易时间内）将资金划转至以下账户：</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户名：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账号：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开户行：    </w:t>
            </w:r>
          </w:p>
        </w:tc>
      </w:tr>
    </w:tbl>
    <w:p>
      <w:pPr>
        <w:spacing w:line="240" w:lineRule="exact"/>
        <w:rPr>
          <w:rFonts w:hint="eastAsia" w:ascii="方正黑体_GBK" w:hAnsi="方正黑体_GBK" w:eastAsia="方正黑体_GBK" w:cs="方正黑体_GBK"/>
          <w:sz w:val="20"/>
          <w:szCs w:val="20"/>
        </w:rPr>
      </w:pPr>
    </w:p>
    <w:p>
      <w:pPr>
        <w:numPr>
          <w:ilvl w:val="0"/>
          <w:numId w:val="15"/>
        </w:num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乙方是一家按照中国法律正式注册并有效存续的法人或其他组织，具有拥有和支配其财产以及继续进行其正在进行之业务的全部权力和授权，已仔细阅读本理财产品销售文件（包括但不限于《理财产品说明书》《理财产品风险揭示书》《投资者权益须知》《理财产品销售协议书》《理财产品投资协议书》）内容，并认可理财产品销售文件的约定。</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乙方确认，南银理财已经以乙方能够理解的方式对该理财产品的基本特征、交易规则、风险评级、投资期限和范围、相关收益及风险（具体风险已在销售文件中揭示）、投资者权利义务、信息披露内容及方式等进行了充分的揭示与说明。乙方已知悉并理解前述内容。</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3、乙方自愿办理该理财产品的交易，保证填写的信息资料真实、准确、完整、有效，并确认业务申请表填写正确无误。</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南银理财有限责任公司（盖章）：</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日期：  年  月  日</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投资者（盖章）：   </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 w:val="20"/>
          <w:szCs w:val="20"/>
        </w:rPr>
        <w:t>日期：  年  月  日</w:t>
      </w:r>
    </w:p>
    <w:p>
      <w:pPr>
        <w:pStyle w:val="36"/>
        <w:spacing w:line="300" w:lineRule="auto"/>
        <w:ind w:firstLine="0" w:firstLineChars="0"/>
        <w:jc w:val="center"/>
        <w:rPr>
          <w:rFonts w:hint="eastAsia" w:ascii="方正黑体_GBK" w:hAnsi="方正黑体_GBK" w:eastAsia="方正黑体_GBK" w:cs="方正黑体_GBK"/>
          <w:b/>
          <w:sz w:val="24"/>
          <w:szCs w:val="24"/>
        </w:rPr>
      </w:pPr>
      <w:r>
        <w:rPr>
          <w:rFonts w:hint="eastAsia" w:ascii="方正黑体_GBK" w:hAnsi="方正黑体_GBK" w:eastAsia="方正黑体_GBK" w:cs="方正黑体_GBK"/>
          <w:b/>
          <w:kern w:val="0"/>
          <w:sz w:val="24"/>
          <w:szCs w:val="24"/>
        </w:rPr>
        <w:t>理财产品投资协议书</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经南银理财有限责任公司（下称“甲方”或“理财产品管理人”）与投资者（下称“乙方”）协商一致，就乙方购买的对应期次理财产品投资事宜，达成如下协议：</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一、重要提示</w:t>
      </w:r>
    </w:p>
    <w:p>
      <w:pPr>
        <w:pStyle w:val="36"/>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sz w:val="15"/>
          <w:szCs w:val="15"/>
        </w:rPr>
        <w:t>理财非存款、产品有风险、投资须谨慎。</w:t>
      </w:r>
      <w:r>
        <w:rPr>
          <w:rFonts w:hint="eastAsia" w:ascii="方正黑体_GBK" w:hAnsi="方正黑体_GBK" w:eastAsia="方正黑体_GBK" w:cs="方正黑体_GBK"/>
          <w:sz w:val="15"/>
          <w:szCs w:val="15"/>
        </w:rPr>
        <w:t>理财产品面临的风险详见对应期次《理财产品风险揭示书》和《理财产品说明书》的详细条款，乙方应仔细阅读并充分理解对应期次理财产品可能发生的风险。</w:t>
      </w:r>
    </w:p>
    <w:p>
      <w:pPr>
        <w:pStyle w:val="36"/>
        <w:numPr>
          <w:ilvl w:val="0"/>
          <w:numId w:val="0"/>
        </w:numPr>
        <w:spacing w:line="300" w:lineRule="auto"/>
        <w:ind w:firstLine="442"/>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pPr>
        <w:pStyle w:val="36"/>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二、双方权利与义务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（一）甲方的权利与义务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1.甲方应当履行恪尽职守、勤勉尽责、诚实守信、有效管理的义务。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2.按照法律法规及对应期次《理财产品说明书》约定的投资范围和权限内，甲方拥有管理和运用理财资金的权利。</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3.甲方应当按照对应期次《理财产品说明书》的约定向乙方分配收益。</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4.甲方有权按照对应期次《理财产品说明书》的约定收取相应费用。</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7.甲方有权根据产品运作的需要选任必要的业务合作机构，并确定合作模式等相关内容。</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8.</w:t>
      </w:r>
      <w:r>
        <w:rPr>
          <w:rFonts w:hint="eastAsia" w:ascii="方正黑体_GBK" w:hAnsi="方正黑体_GBK" w:eastAsia="方正黑体_GBK" w:cs="方正黑体_GBK"/>
          <w:b/>
          <w:bCs/>
          <w:sz w:val="15"/>
          <w:szCs w:val="15"/>
        </w:rPr>
        <w:t>在本理财产品存续期内：</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6"/>
        <w:spacing w:line="300" w:lineRule="auto"/>
        <w:ind w:firstLine="440" w:firstLineChars="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36"/>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10.法律法规规定或理财产品销售文件约定的其它权利及义务。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（二）乙方的权利与义务</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1.乙方保证具有完全民事行为能力，有完全适当的资格与能力订立并履行本协议。</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pPr>
        <w:pStyle w:val="36"/>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3.乙方自愿购买甲方管理的理财产品，接受甲方提供的投资理财服务。甲方向乙方提供的市场分析和预测（如有）仅供参考，乙方据此做出的任何决策均出于乙方自身的判断，甲方不承担任何责任。</w:t>
      </w:r>
    </w:p>
    <w:p>
      <w:pPr>
        <w:pStyle w:val="36"/>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4.乙方已仔细阅读《投资者权益须知》《理财产品说明书》并清楚知晓其内容，接受并签署《理财产品风险揭示书》《理财产品销售协议书》和本协议。</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8</w:t>
      </w:r>
      <w:r>
        <w:rPr>
          <w:rFonts w:hint="eastAsia" w:ascii="方正黑体_GBK" w:hAnsi="方正黑体_GBK" w:eastAsia="方正黑体_GBK" w:cs="方正黑体_GBK"/>
          <w:sz w:val="15"/>
          <w:szCs w:val="15"/>
        </w:rPr>
        <w:t>.</w:t>
      </w:r>
      <w:r>
        <w:rPr>
          <w:rFonts w:hint="eastAsia" w:ascii="方正黑体_GBK" w:hAnsi="方正黑体_GBK" w:eastAsia="方正黑体_GBK" w:cs="方正黑体_GBK"/>
          <w:b/>
          <w:bCs/>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10.乙方对因购买、持有本理财产品而知悉的甲方及销售机构保密信息承担保密义务，乙方承诺不以任何方式向任何第三方披露甲方或销售机构的保密信息，法律法规另有规定的除外。</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11.法律法规规定或理财产品销售文件约定的其它权利及义务。</w:t>
      </w:r>
    </w:p>
    <w:p>
      <w:pPr>
        <w:pStyle w:val="36"/>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三、协议的生效和终止</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（三）乙方购买理财产品失败、甲方提前终止对应期次理财产品以及对应期次理财产品到期并结清后，本协议自动终止。</w:t>
      </w: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四、不可抗力及其他免责条款</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非因甲方原因（包括但不限于理财产品投资者遗失理财产品销售文件、理财产品销售文件被盗用等原因）造成的损失，甲方不承担责任。</w:t>
      </w: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五、争议解决</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36"/>
        <w:spacing w:line="300" w:lineRule="auto"/>
        <w:ind w:firstLine="301"/>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六、</w:t>
      </w:r>
      <w:r>
        <w:rPr>
          <w:rFonts w:hint="eastAsia" w:ascii="方正黑体_GBK" w:hAnsi="方正黑体_GBK" w:eastAsia="方正黑体_GBK" w:cs="方正黑体_GBK"/>
          <w:sz w:val="15"/>
          <w:szCs w:val="15"/>
        </w:rPr>
        <w:t>本协议未尽事宜，以《理财产品说明书》《理财产品风险揭示书》《理财产品销售协议书》及《投资者权益须知》等销售文件的内容为准。</w:t>
      </w:r>
    </w:p>
    <w:p>
      <w:pPr>
        <w:pStyle w:val="36"/>
        <w:spacing w:line="300" w:lineRule="auto"/>
        <w:ind w:firstLine="300"/>
        <w:rPr>
          <w:rFonts w:hint="eastAsia" w:ascii="方正黑体_GBK" w:hAnsi="方正黑体_GBK" w:eastAsia="方正黑体_GBK" w:cs="方正黑体_GBK"/>
          <w:sz w:val="15"/>
          <w:szCs w:val="15"/>
        </w:rPr>
      </w:pP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请投资者在购买本理财产品前认真阅读以上条款，尤其是加粗的条款。如果投资者不同意本协议的任何内容，或者无法准确理解相关条款的解释，请不要进行后续操作。</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（以下无正文）</w:t>
      </w:r>
    </w:p>
    <w:p>
      <w:pPr>
        <w:pStyle w:val="36"/>
        <w:spacing w:line="300" w:lineRule="auto"/>
        <w:ind w:firstLine="300"/>
        <w:rPr>
          <w:rFonts w:hint="eastAsia" w:ascii="方正黑体_GBK" w:hAnsi="方正黑体_GBK" w:eastAsia="方正黑体_GBK" w:cs="方正黑体_GBK"/>
          <w:sz w:val="15"/>
          <w:szCs w:val="15"/>
        </w:rPr>
      </w:pPr>
    </w:p>
    <w:p>
      <w:pPr>
        <w:spacing w:line="300" w:lineRule="auto"/>
        <w:ind w:left="300"/>
        <w:rPr>
          <w:rFonts w:hint="eastAsia" w:ascii="方正黑体_GBK" w:hAnsi="方正黑体_GBK" w:eastAsia="方正黑体_GBK" w:cs="方正黑体_GBK"/>
          <w:sz w:val="15"/>
          <w:szCs w:val="15"/>
        </w:rPr>
      </w:pPr>
      <w:r>
        <w:rPr>
          <w:rStyle w:val="37"/>
          <w:rFonts w:hint="eastAsia" w:ascii="方正黑体_GBK" w:hAnsi="方正黑体_GBK" w:eastAsia="方正黑体_GBK" w:cs="方正黑体_GBK"/>
          <w:sz w:val="15"/>
          <w:szCs w:val="15"/>
        </w:rPr>
        <w:t>个人投资者（如适用）：</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机构投资者（如适用）：</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个人投资者： （签名或盖章）</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机构投资者：（</w:t>
      </w:r>
      <w:r>
        <w:rPr>
          <w:rFonts w:hint="eastAsia" w:ascii="方正黑体_GBK" w:hAnsi="方正黑体_GBK" w:eastAsia="方正黑体_GBK" w:cs="方正黑体_GBK"/>
          <w:sz w:val="15"/>
          <w:szCs w:val="15"/>
        </w:rPr>
        <w:t>公章或合同专用章</w:t>
      </w:r>
      <w:r>
        <w:rPr>
          <w:rStyle w:val="37"/>
          <w:rFonts w:hint="eastAsia" w:ascii="方正黑体_GBK" w:hAnsi="方正黑体_GBK" w:eastAsia="方正黑体_GBK" w:cs="方正黑体_GBK"/>
          <w:sz w:val="15"/>
          <w:szCs w:val="15"/>
        </w:rPr>
        <w:t>）</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 xml:space="preserve">   年  月  日       </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法定代表人或授权代理人：（签名或盖章）</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 xml:space="preserve">                                  </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年    月   日</w:t>
      </w:r>
    </w:p>
    <w:p>
      <w:pPr>
        <w:spacing w:line="360" w:lineRule="auto"/>
        <w:rPr>
          <w:rFonts w:hint="eastAsia" w:ascii="方正黑体_GBK" w:hAnsi="方正黑体_GBK" w:eastAsia="方正黑体_GBK" w:cs="方正黑体_GBK"/>
          <w:sz w:val="22"/>
          <w:szCs w:val="24"/>
        </w:rPr>
      </w:pPr>
    </w:p>
    <w:p>
      <w:pPr>
        <w:spacing w:line="200" w:lineRule="exact"/>
        <w:rPr>
          <w:rFonts w:hint="eastAsia" w:ascii="方正黑体_GBK" w:hAnsi="方正黑体_GBK" w:eastAsia="方正黑体_GBK" w:cs="方正黑体_GBK"/>
          <w:spacing w:val="10"/>
          <w:sz w:val="15"/>
          <w:szCs w:val="15"/>
        </w:rPr>
      </w:pPr>
    </w:p>
    <w:bookmarkEnd w:id="31"/>
    <w:p>
      <w:pPr>
        <w:widowControl/>
        <w:jc w:val="left"/>
        <w:rPr>
          <w:rFonts w:hint="eastAsia" w:ascii="方正黑体_GBK" w:hAnsi="方正黑体_GBK" w:eastAsia="方正黑体_GBK" w:cs="方正黑体_GBK"/>
        </w:rPr>
      </w:pPr>
    </w:p>
    <w:p>
      <w:pPr>
        <w:pStyle w:val="2"/>
        <w:rPr>
          <w:rFonts w:hint="eastAsia" w:ascii="方正黑体_GBK" w:hAnsi="方正黑体_GBK" w:eastAsia="方正黑体_GBK" w:cs="方正黑体_GBK"/>
        </w:rPr>
      </w:pPr>
    </w:p>
    <w:p>
      <w:pPr>
        <w:pStyle w:val="6"/>
        <w:rPr>
          <w:rFonts w:hint="eastAsia" w:ascii="方正黑体_GBK" w:hAnsi="方正黑体_GBK" w:eastAsia="方正黑体_GBK" w:cs="方正黑体_GBK"/>
          <w:lang w:val="en-US" w:eastAsia="zh-CN"/>
        </w:rPr>
      </w:pPr>
    </w:p>
    <w:bookmarkEnd w:id="32"/>
    <w:sectPr>
      <w:headerReference r:id="rId7" w:type="default"/>
      <w:footerReference r:id="rId8"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MicrosoftYaHei_PDF_Subset">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8306"/>
        <w:tab w:val="clear" w:pos="8307"/>
      </w:tabs>
      <w:jc w:val="right"/>
    </w:pPr>
    <w:r>
      <w:rPr>
        <w:rFonts w:hint="eastAsia"/>
      </w:rPr>
      <w:t>南银理财理财产品销售文件（202</w:t>
    </w:r>
    <w:r>
      <w:rPr>
        <w:rFonts w:hint="eastAsia"/>
        <w:lang w:val="en-US" w:eastAsia="zh-CN"/>
      </w:rPr>
      <w:t>1</w:t>
    </w:r>
    <w:r>
      <w:rPr>
        <w:rFonts w:hint="eastAsia"/>
      </w:rPr>
      <w:t>第</w:t>
    </w:r>
    <w:r>
      <w:rPr>
        <w:rFonts w:hint="eastAsia"/>
        <w:lang w:val="en-US" w:eastAsia="zh-CN"/>
      </w:rPr>
      <w:t>2</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pPr>
    <w:r>
      <w:t xml:space="preserve">   </w:t>
    </w:r>
    <w:r>
      <w:rPr>
        <w:rFonts w:hint="eastAsia" w:ascii="宋体" w:eastAsia="宋体" w:cs="Times New Roman"/>
        <w:vanish w:val="0"/>
        <w:kern w:val="2"/>
        <w:sz w:val="18"/>
        <w:szCs w:val="18"/>
      </w:rPr>
      <w:t>南银理财理财产品销售文件（</w:t>
    </w:r>
    <w:r>
      <w:rPr>
        <w:rFonts w:ascii="Times New Roman" w:hAnsi="Times New Roman" w:eastAsia="宋体" w:cs="Times New Roman"/>
        <w:vanish w:val="0"/>
        <w:kern w:val="2"/>
        <w:sz w:val="18"/>
        <w:szCs w:val="18"/>
      </w:rPr>
      <w:t>2021</w:t>
    </w:r>
    <w:r>
      <w:rPr>
        <w:rFonts w:hint="eastAsia" w:ascii="宋体" w:eastAsia="宋体" w:cs="Times New Roman"/>
        <w:vanish w:val="0"/>
        <w:kern w:val="2"/>
        <w:sz w:val="18"/>
        <w:szCs w:val="18"/>
      </w:rPr>
      <w:t>第</w:t>
    </w:r>
    <w:r>
      <w:rPr>
        <w:rFonts w:ascii="Times New Roman" w:hAnsi="Times New Roman" w:eastAsia="宋体" w:cs="Times New Roman"/>
        <w:vanish w:val="0"/>
        <w:kern w:val="2"/>
        <w:sz w:val="18"/>
        <w:szCs w:val="18"/>
      </w:rPr>
      <w:t>2</w:t>
    </w:r>
    <w:r>
      <w:rPr>
        <w:rFonts w:hint="eastAsia" w:ascii="宋体" w:eastAsia="宋体" w:cs="Times New Roman"/>
        <w:vanish w:val="0"/>
        <w:kern w:val="2"/>
        <w:sz w:val="18"/>
        <w:szCs w:val="18"/>
      </w:rPr>
      <w:t>版）</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1918"/>
    <w:multiLevelType w:val="singleLevel"/>
    <w:tmpl w:val="87F31918"/>
    <w:lvl w:ilvl="0" w:tentative="0">
      <w:start w:val="1"/>
      <w:numFmt w:val="decimal"/>
      <w:suff w:val="nothing"/>
      <w:lvlText w:val="%1、"/>
      <w:lvlJc w:val="left"/>
    </w:lvl>
  </w:abstractNum>
  <w:abstractNum w:abstractNumId="1">
    <w:nsid w:val="00000000"/>
    <w:multiLevelType w:val="multilevel"/>
    <w:tmpl w:val="00000000"/>
    <w:lvl w:ilvl="0" w:tentative="0">
      <w:start w:val="1"/>
      <w:numFmt w:val="chineseCountingThousand"/>
      <w:lvlText w:val="（%1）"/>
      <w:legacy w:legacy="1" w:legacySpace="0" w:legacyIndent="420"/>
      <w:lvlJc w:val="left"/>
      <w:pPr>
        <w:ind w:left="704" w:hanging="420"/>
      </w:pPr>
      <w:rPr>
        <w:rFonts w:hint="eastAsia" w:ascii="宋体" w:hAnsi="宋体" w:eastAsia="宋体"/>
        <w:b w:val="0"/>
        <w:bCs w:val="0"/>
      </w:rPr>
    </w:lvl>
    <w:lvl w:ilvl="1" w:tentative="0">
      <w:start w:val="1"/>
      <w:numFmt w:val="lowerLetter"/>
      <w:lvlText w:val="%2)"/>
      <w:legacy w:legacy="1" w:legacySpace="0" w:legacyIndent="420"/>
      <w:lvlJc w:val="left"/>
      <w:pPr>
        <w:ind w:left="1124" w:hanging="420"/>
      </w:pPr>
      <w:rPr>
        <w:rFonts w:hint="default" w:ascii="Times New Roman" w:hAnsi="Times New Roman"/>
      </w:rPr>
    </w:lvl>
    <w:lvl w:ilvl="2" w:tentative="0">
      <w:start w:val="1"/>
      <w:numFmt w:val="decimal"/>
      <w:lvlText w:val="%3."/>
      <w:legacy w:legacy="1" w:legacySpace="0" w:legacyIndent="420"/>
      <w:lvlJc w:val="right"/>
      <w:pPr>
        <w:ind w:left="1544" w:hanging="420"/>
      </w:pPr>
      <w:rPr>
        <w:rFonts w:hint="default" w:ascii="Times New Roman" w:hAnsi="Times New Roman"/>
      </w:rPr>
    </w:lvl>
    <w:lvl w:ilvl="3" w:tentative="0">
      <w:start w:val="1"/>
      <w:numFmt w:val="decimal"/>
      <w:lvlText w:val="%4."/>
      <w:legacy w:legacy="1" w:legacySpace="0" w:legacyIndent="420"/>
      <w:lvlJc w:val="left"/>
      <w:pPr>
        <w:ind w:left="1964" w:hanging="420"/>
      </w:pPr>
      <w:rPr>
        <w:rFonts w:hint="default" w:ascii="Times New Roman" w:hAnsi="Times New Roman"/>
      </w:rPr>
    </w:lvl>
    <w:lvl w:ilvl="4" w:tentative="0">
      <w:start w:val="1"/>
      <w:numFmt w:val="lowerLetter"/>
      <w:lvlText w:val="%5)"/>
      <w:legacy w:legacy="1" w:legacySpace="0" w:legacyIndent="420"/>
      <w:lvlJc w:val="left"/>
      <w:pPr>
        <w:ind w:left="2384" w:hanging="420"/>
      </w:pPr>
      <w:rPr>
        <w:rFonts w:hint="default" w:ascii="Times New Roman" w:hAnsi="Times New Roman"/>
      </w:rPr>
    </w:lvl>
    <w:lvl w:ilvl="5" w:tentative="0">
      <w:start w:val="1"/>
      <w:numFmt w:val="decimal"/>
      <w:lvlText w:val="%6."/>
      <w:legacy w:legacy="1" w:legacySpace="0" w:legacyIndent="420"/>
      <w:lvlJc w:val="right"/>
      <w:pPr>
        <w:ind w:left="2804" w:hanging="420"/>
      </w:pPr>
      <w:rPr>
        <w:rFonts w:hint="default" w:ascii="Times New Roman" w:hAnsi="Times New Roman"/>
      </w:rPr>
    </w:lvl>
    <w:lvl w:ilvl="6" w:tentative="0">
      <w:start w:val="1"/>
      <w:numFmt w:val="decimal"/>
      <w:lvlText w:val="%7."/>
      <w:legacy w:legacy="1" w:legacySpace="0" w:legacyIndent="420"/>
      <w:lvlJc w:val="left"/>
      <w:pPr>
        <w:ind w:left="3224" w:hanging="420"/>
      </w:pPr>
      <w:rPr>
        <w:rFonts w:hint="default" w:ascii="Times New Roman" w:hAnsi="Times New Roman"/>
      </w:rPr>
    </w:lvl>
    <w:lvl w:ilvl="7" w:tentative="0">
      <w:start w:val="1"/>
      <w:numFmt w:val="lowerLetter"/>
      <w:lvlText w:val="%8)"/>
      <w:legacy w:legacy="1" w:legacySpace="0" w:legacyIndent="420"/>
      <w:lvlJc w:val="left"/>
      <w:pPr>
        <w:ind w:left="3644" w:hanging="420"/>
      </w:pPr>
      <w:rPr>
        <w:rFonts w:hint="default" w:ascii="Times New Roman" w:hAnsi="Times New Roman"/>
      </w:rPr>
    </w:lvl>
    <w:lvl w:ilvl="8" w:tentative="0">
      <w:start w:val="1"/>
      <w:numFmt w:val="decimal"/>
      <w:lvlText w:val="%9."/>
      <w:legacy w:legacy="1" w:legacySpace="0" w:legacyIndent="420"/>
      <w:lvlJc w:val="right"/>
      <w:pPr>
        <w:ind w:left="4064" w:hanging="420"/>
      </w:pPr>
      <w:rPr>
        <w:rFonts w:hint="default" w:ascii="Times New Roman" w:hAnsi="Times New Roman"/>
      </w:rPr>
    </w:lvl>
  </w:abstractNum>
  <w:abstractNum w:abstractNumId="2">
    <w:nsid w:val="00000001"/>
    <w:multiLevelType w:val="multilevel"/>
    <w:tmpl w:val="00000001"/>
    <w:lvl w:ilvl="0" w:tentative="0">
      <w:start w:val="1"/>
      <w:numFmt w:val="decimal"/>
      <w:lvlText w:val="（%1）"/>
      <w:legacy w:legacy="1" w:legacySpace="0" w:legacyIndent="420"/>
      <w:lvlJc w:val="left"/>
      <w:pPr>
        <w:ind w:left="709" w:hanging="420"/>
      </w:pPr>
      <w:rPr>
        <w:rFonts w:hint="default" w:ascii="Times New Roman" w:hAnsi="Times New Roman"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3">
    <w:nsid w:val="00000002"/>
    <w:multiLevelType w:val="multilevel"/>
    <w:tmpl w:val="00000002"/>
    <w:lvl w:ilvl="0" w:tentative="0">
      <w:start w:val="1"/>
      <w:numFmt w:val="japaneseCounting"/>
      <w:lvlText w:val="（%1）"/>
      <w:lvlJc w:val="left"/>
      <w:pPr>
        <w:tabs>
          <w:tab w:val="left" w:pos="0"/>
        </w:tabs>
        <w:ind w:left="1021" w:hanging="720"/>
      </w:pPr>
      <w:rPr>
        <w:rFonts w:hint="default" w:ascii="Times New Roman" w:hAnsi="Times New Roman"/>
      </w:rPr>
    </w:lvl>
    <w:lvl w:ilvl="1" w:tentative="0">
      <w:start w:val="1"/>
      <w:numFmt w:val="lowerLetter"/>
      <w:lvlText w:val="%2)"/>
      <w:lvlJc w:val="left"/>
      <w:pPr>
        <w:tabs>
          <w:tab w:val="left" w:pos="0"/>
        </w:tabs>
        <w:ind w:left="1141" w:hanging="420"/>
      </w:pPr>
      <w:rPr>
        <w:rFonts w:hint="default" w:ascii="Times New Roman" w:hAnsi="Times New Roman"/>
      </w:rPr>
    </w:lvl>
    <w:lvl w:ilvl="2" w:tentative="0">
      <w:start w:val="1"/>
      <w:numFmt w:val="decimal"/>
      <w:lvlText w:val="%3."/>
      <w:lvlJc w:val="right"/>
      <w:pPr>
        <w:tabs>
          <w:tab w:val="left" w:pos="0"/>
        </w:tabs>
        <w:ind w:left="1561" w:hanging="420"/>
      </w:pPr>
      <w:rPr>
        <w:rFonts w:hint="default" w:ascii="Times New Roman" w:hAnsi="Times New Roman"/>
      </w:rPr>
    </w:lvl>
    <w:lvl w:ilvl="3" w:tentative="0">
      <w:start w:val="1"/>
      <w:numFmt w:val="decimal"/>
      <w:lvlText w:val="%4."/>
      <w:lvlJc w:val="left"/>
      <w:pPr>
        <w:tabs>
          <w:tab w:val="left" w:pos="0"/>
        </w:tabs>
        <w:ind w:left="1981" w:hanging="420"/>
      </w:pPr>
      <w:rPr>
        <w:rFonts w:hint="default" w:ascii="Times New Roman" w:hAnsi="Times New Roman"/>
      </w:rPr>
    </w:lvl>
    <w:lvl w:ilvl="4" w:tentative="0">
      <w:start w:val="1"/>
      <w:numFmt w:val="lowerLetter"/>
      <w:lvlText w:val="%5)"/>
      <w:lvlJc w:val="left"/>
      <w:pPr>
        <w:tabs>
          <w:tab w:val="left" w:pos="0"/>
        </w:tabs>
        <w:ind w:left="2401" w:hanging="420"/>
      </w:pPr>
      <w:rPr>
        <w:rFonts w:hint="default" w:ascii="Times New Roman" w:hAnsi="Times New Roman"/>
      </w:rPr>
    </w:lvl>
    <w:lvl w:ilvl="5" w:tentative="0">
      <w:start w:val="1"/>
      <w:numFmt w:val="decimal"/>
      <w:lvlText w:val="%6."/>
      <w:lvlJc w:val="right"/>
      <w:pPr>
        <w:tabs>
          <w:tab w:val="left" w:pos="0"/>
        </w:tabs>
        <w:ind w:left="2821" w:hanging="420"/>
      </w:pPr>
      <w:rPr>
        <w:rFonts w:hint="default" w:ascii="Times New Roman" w:hAnsi="Times New Roman"/>
      </w:rPr>
    </w:lvl>
    <w:lvl w:ilvl="6" w:tentative="0">
      <w:start w:val="1"/>
      <w:numFmt w:val="decimal"/>
      <w:lvlText w:val="%7."/>
      <w:lvlJc w:val="left"/>
      <w:pPr>
        <w:tabs>
          <w:tab w:val="left" w:pos="0"/>
        </w:tabs>
        <w:ind w:left="3241" w:hanging="420"/>
      </w:pPr>
      <w:rPr>
        <w:rFonts w:hint="default" w:ascii="Times New Roman" w:hAnsi="Times New Roman"/>
      </w:rPr>
    </w:lvl>
    <w:lvl w:ilvl="7" w:tentative="0">
      <w:start w:val="1"/>
      <w:numFmt w:val="lowerLetter"/>
      <w:lvlText w:val="%8)"/>
      <w:lvlJc w:val="left"/>
      <w:pPr>
        <w:tabs>
          <w:tab w:val="left" w:pos="0"/>
        </w:tabs>
        <w:ind w:left="3661" w:hanging="420"/>
      </w:pPr>
      <w:rPr>
        <w:rFonts w:hint="default" w:ascii="Times New Roman" w:hAnsi="Times New Roman"/>
      </w:rPr>
    </w:lvl>
    <w:lvl w:ilvl="8" w:tentative="0">
      <w:start w:val="1"/>
      <w:numFmt w:val="decimal"/>
      <w:lvlText w:val="%9."/>
      <w:lvlJc w:val="right"/>
      <w:pPr>
        <w:tabs>
          <w:tab w:val="left" w:pos="0"/>
        </w:tabs>
        <w:ind w:left="4081" w:hanging="420"/>
      </w:pPr>
      <w:rPr>
        <w:rFonts w:hint="default" w:ascii="Times New Roman" w:hAnsi="Times New Roman"/>
      </w:rPr>
    </w:lvl>
  </w:abstractNum>
  <w:abstractNum w:abstractNumId="4">
    <w:nsid w:val="00000003"/>
    <w:multiLevelType w:val="multilevel"/>
    <w:tmpl w:val="00000003"/>
    <w:lvl w:ilvl="0" w:tentative="0">
      <w:start w:val="1"/>
      <w:numFmt w:val="decimal"/>
      <w:lvlText w:val="%1."/>
      <w:lvlJc w:val="left"/>
      <w:pPr>
        <w:tabs>
          <w:tab w:val="left" w:pos="0"/>
        </w:tabs>
        <w:ind w:left="660" w:hanging="360"/>
      </w:pPr>
      <w:rPr>
        <w:rFonts w:hint="default" w:ascii="Times New Roman" w:hAnsi="Times New Roman"/>
      </w:rPr>
    </w:lvl>
    <w:lvl w:ilvl="1" w:tentative="0">
      <w:start w:val="1"/>
      <w:numFmt w:val="lowerLetter"/>
      <w:lvlText w:val="%2)"/>
      <w:lvlJc w:val="left"/>
      <w:pPr>
        <w:tabs>
          <w:tab w:val="left" w:pos="0"/>
        </w:tabs>
        <w:ind w:left="1140" w:hanging="420"/>
      </w:pPr>
      <w:rPr>
        <w:rFonts w:hint="default" w:ascii="Times New Roman" w:hAnsi="Times New Roman"/>
      </w:rPr>
    </w:lvl>
    <w:lvl w:ilvl="2" w:tentative="0">
      <w:start w:val="1"/>
      <w:numFmt w:val="decimal"/>
      <w:lvlText w:val="%3."/>
      <w:lvlJc w:val="right"/>
      <w:pPr>
        <w:tabs>
          <w:tab w:val="left" w:pos="0"/>
        </w:tabs>
        <w:ind w:left="1560" w:hanging="420"/>
      </w:pPr>
      <w:rPr>
        <w:rFonts w:hint="default" w:ascii="Times New Roman" w:hAnsi="Times New Roman"/>
      </w:rPr>
    </w:lvl>
    <w:lvl w:ilvl="3" w:tentative="0">
      <w:start w:val="1"/>
      <w:numFmt w:val="decimal"/>
      <w:lvlText w:val="%4."/>
      <w:lvlJc w:val="left"/>
      <w:pPr>
        <w:tabs>
          <w:tab w:val="left" w:pos="0"/>
        </w:tabs>
        <w:ind w:left="1980" w:hanging="420"/>
      </w:pPr>
      <w:rPr>
        <w:rFonts w:hint="default" w:ascii="Times New Roman" w:hAnsi="Times New Roman"/>
      </w:rPr>
    </w:lvl>
    <w:lvl w:ilvl="4" w:tentative="0">
      <w:start w:val="1"/>
      <w:numFmt w:val="lowerLetter"/>
      <w:lvlText w:val="%5)"/>
      <w:lvlJc w:val="left"/>
      <w:pPr>
        <w:tabs>
          <w:tab w:val="left" w:pos="0"/>
        </w:tabs>
        <w:ind w:left="2400" w:hanging="420"/>
      </w:pPr>
      <w:rPr>
        <w:rFonts w:hint="default" w:ascii="Times New Roman" w:hAnsi="Times New Roman"/>
      </w:rPr>
    </w:lvl>
    <w:lvl w:ilvl="5" w:tentative="0">
      <w:start w:val="1"/>
      <w:numFmt w:val="decimal"/>
      <w:lvlText w:val="%6."/>
      <w:lvlJc w:val="right"/>
      <w:pPr>
        <w:tabs>
          <w:tab w:val="left" w:pos="0"/>
        </w:tabs>
        <w:ind w:left="2820" w:hanging="420"/>
      </w:pPr>
      <w:rPr>
        <w:rFonts w:hint="default" w:ascii="Times New Roman" w:hAnsi="Times New Roman"/>
      </w:rPr>
    </w:lvl>
    <w:lvl w:ilvl="6" w:tentative="0">
      <w:start w:val="1"/>
      <w:numFmt w:val="decimal"/>
      <w:lvlText w:val="%7."/>
      <w:lvlJc w:val="left"/>
      <w:pPr>
        <w:tabs>
          <w:tab w:val="left" w:pos="0"/>
        </w:tabs>
        <w:ind w:left="3240" w:hanging="420"/>
      </w:pPr>
      <w:rPr>
        <w:rFonts w:hint="default" w:ascii="Times New Roman" w:hAnsi="Times New Roman"/>
      </w:rPr>
    </w:lvl>
    <w:lvl w:ilvl="7" w:tentative="0">
      <w:start w:val="1"/>
      <w:numFmt w:val="lowerLetter"/>
      <w:lvlText w:val="%8)"/>
      <w:lvlJc w:val="left"/>
      <w:pPr>
        <w:tabs>
          <w:tab w:val="left" w:pos="0"/>
        </w:tabs>
        <w:ind w:left="3660" w:hanging="420"/>
      </w:pPr>
      <w:rPr>
        <w:rFonts w:hint="default" w:ascii="Times New Roman" w:hAnsi="Times New Roman"/>
      </w:rPr>
    </w:lvl>
    <w:lvl w:ilvl="8" w:tentative="0">
      <w:start w:val="1"/>
      <w:numFmt w:val="decimal"/>
      <w:lvlText w:val="%9."/>
      <w:lvlJc w:val="right"/>
      <w:pPr>
        <w:tabs>
          <w:tab w:val="left" w:pos="0"/>
        </w:tabs>
        <w:ind w:left="4080" w:hanging="420"/>
      </w:pPr>
      <w:rPr>
        <w:rFonts w:hint="default" w:ascii="Times New Roman" w:hAnsi="Times New Roman"/>
      </w:rPr>
    </w:lvl>
  </w:abstractNum>
  <w:abstractNum w:abstractNumId="5">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7">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8">
    <w:nsid w:val="510A3506"/>
    <w:multiLevelType w:val="singleLevel"/>
    <w:tmpl w:val="510A3506"/>
    <w:lvl w:ilvl="0" w:tentative="0">
      <w:start w:val="1"/>
      <w:numFmt w:val="decimal"/>
      <w:suff w:val="nothing"/>
      <w:lvlText w:val="（%1）"/>
      <w:lvlJc w:val="left"/>
    </w:lvl>
  </w:abstractNum>
  <w:abstractNum w:abstractNumId="9">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10"/>
  </w:num>
  <w:num w:numId="6">
    <w:abstractNumId w:val="11"/>
  </w:num>
  <w:num w:numId="7">
    <w:abstractNumId w:val="12"/>
  </w:num>
  <w:num w:numId="8">
    <w:abstractNumId w:val="8"/>
  </w:num>
  <w:num w:numId="9">
    <w:abstractNumId w:val="9"/>
  </w:num>
  <w:num w:numId="10">
    <w:abstractNumId w:val="7"/>
  </w:num>
  <w:num w:numId="11">
    <w:abstractNumId w:val="14"/>
  </w:num>
  <w:num w:numId="12">
    <w:abstractNumId w:val="6"/>
  </w:num>
  <w:num w:numId="13">
    <w:abstractNumId w:val="5"/>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M1ZGZjZGI0NDAxNWRlYTU1MDQzODcxYWQzMWNkMWYifQ=="/>
  </w:docVars>
  <w:rsids>
    <w:rsidRoot w:val="00000000"/>
    <w:rsid w:val="10CB2541"/>
    <w:rsid w:val="113A6611"/>
    <w:rsid w:val="140E7C96"/>
    <w:rsid w:val="16AD3796"/>
    <w:rsid w:val="1C6C2B3F"/>
    <w:rsid w:val="23E17927"/>
    <w:rsid w:val="24B44076"/>
    <w:rsid w:val="33A647D1"/>
    <w:rsid w:val="3F62471B"/>
    <w:rsid w:val="45B46040"/>
    <w:rsid w:val="65DF6369"/>
    <w:rsid w:val="7BD70549"/>
    <w:rsid w:val="7F302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3">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4">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6">
    <w:name w:val="Normal Indent"/>
    <w:basedOn w:val="1"/>
    <w:qFormat/>
    <w:uiPriority w:val="0"/>
    <w:pPr>
      <w:ind w:firstLine="200" w:firstLineChars="200"/>
    </w:pPr>
  </w:style>
  <w:style w:type="paragraph" w:styleId="7">
    <w:name w:val="annotation text"/>
    <w:basedOn w:val="1"/>
    <w:unhideWhenUsed/>
    <w:qFormat/>
    <w:uiPriority w:val="99"/>
    <w:pPr>
      <w:jc w:val="left"/>
    </w:p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qFormat/>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next w:val="1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Times New Roman"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18">
    <w:name w:val="Normal258c9c79"/>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8965a2ad"/>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a381b4bc"/>
    <w:basedOn w:val="18"/>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customStyle="1" w:styleId="21">
    <w:name w:val="heading 3f7dbc7b6"/>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e0263b83"/>
    <w:qFormat/>
    <w:uiPriority w:val="0"/>
  </w:style>
  <w:style w:type="paragraph" w:customStyle="1" w:styleId="23">
    <w:name w:val="引文目录1d6ce3c1b"/>
    <w:basedOn w:val="18"/>
    <w:next w:val="1"/>
    <w:qFormat/>
    <w:uiPriority w:val="0"/>
    <w:pPr>
      <w:ind w:left="200" w:leftChars="200"/>
    </w:pPr>
  </w:style>
  <w:style w:type="paragraph" w:customStyle="1" w:styleId="24">
    <w:name w:val="toc 537bf768c"/>
    <w:basedOn w:val="18"/>
    <w:next w:val="1"/>
    <w:qFormat/>
    <w:uiPriority w:val="0"/>
    <w:pPr>
      <w:ind w:left="1680"/>
    </w:pPr>
  </w:style>
  <w:style w:type="paragraph" w:customStyle="1" w:styleId="25">
    <w:name w:val="toc 361704408"/>
    <w:basedOn w:val="18"/>
    <w:next w:val="1"/>
    <w:qFormat/>
    <w:uiPriority w:val="0"/>
    <w:pPr>
      <w:ind w:left="840"/>
    </w:pPr>
  </w:style>
  <w:style w:type="paragraph" w:customStyle="1" w:styleId="26">
    <w:name w:val="footer316d9420"/>
    <w:basedOn w:val="18"/>
    <w:qFormat/>
    <w:uiPriority w:val="0"/>
    <w:pPr>
      <w:tabs>
        <w:tab w:val="center" w:pos="4153"/>
        <w:tab w:val="right" w:pos="8307"/>
      </w:tabs>
      <w:adjustRightInd/>
      <w:snapToGrid w:val="0"/>
      <w:contextualSpacing w:val="0"/>
      <w:jc w:val="left"/>
    </w:pPr>
    <w:rPr>
      <w:sz w:val="18"/>
    </w:rPr>
  </w:style>
  <w:style w:type="paragraph" w:customStyle="1" w:styleId="27">
    <w:name w:val="headerd8378d27"/>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toc 1f4396b7e"/>
    <w:basedOn w:val="18"/>
    <w:next w:val="1"/>
    <w:qFormat/>
    <w:uiPriority w:val="0"/>
  </w:style>
  <w:style w:type="paragraph" w:customStyle="1" w:styleId="29">
    <w:name w:val="toc 4c76d60e0"/>
    <w:basedOn w:val="18"/>
    <w:next w:val="1"/>
    <w:qFormat/>
    <w:uiPriority w:val="0"/>
    <w:pPr>
      <w:ind w:left="1260"/>
    </w:pPr>
  </w:style>
  <w:style w:type="paragraph" w:customStyle="1" w:styleId="30">
    <w:name w:val="toc 2e5cb50f5"/>
    <w:basedOn w:val="18"/>
    <w:next w:val="1"/>
    <w:uiPriority w:val="0"/>
    <w:pPr>
      <w:ind w:left="420"/>
    </w:pPr>
  </w:style>
  <w:style w:type="paragraph" w:customStyle="1" w:styleId="31">
    <w:name w:val="列出段落15669b4b9"/>
    <w:next w:val="14"/>
    <w:link w:val="3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customStyle="1" w:styleId="32">
    <w:name w:val="列出段落15669b4b9 Char"/>
    <w:basedOn w:val="17"/>
    <w:link w:val="31"/>
    <w:qFormat/>
    <w:uiPriority w:val="0"/>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3">
    <w:name w:val="Normalbfaaf76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4">
    <w:name w:val="annotation text23"/>
    <w:next w:val="1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5">
    <w:name w:val="列出段落1"/>
    <w:basedOn w:val="1"/>
    <w:qFormat/>
    <w:uiPriority w:val="99"/>
    <w:pPr>
      <w:ind w:firstLine="420" w:firstLineChars="200"/>
    </w:pPr>
  </w:style>
  <w:style w:type="paragraph" w:customStyle="1" w:styleId="36">
    <w:name w:val="列表段落1"/>
    <w:basedOn w:val="1"/>
    <w:unhideWhenUsed/>
    <w:qFormat/>
    <w:uiPriority w:val="34"/>
    <w:pPr>
      <w:ind w:firstLine="420" w:firstLineChars="200"/>
    </w:pPr>
  </w:style>
  <w:style w:type="character" w:customStyle="1" w:styleId="37">
    <w:name w:val="fontstyle01"/>
    <w:qFormat/>
    <w:uiPriority w:val="0"/>
    <w:rPr>
      <w:rFonts w:hint="default" w:ascii="MicrosoftYaHei_PDF_Subset" w:hAnsi="MicrosoftYaHei_PDF_Subse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22303</Words>
  <Characters>22872</Characters>
  <Lines>577</Lines>
  <Paragraphs>364</Paragraphs>
  <TotalTime>0</TotalTime>
  <ScaleCrop>false</ScaleCrop>
  <LinksUpToDate>false</LinksUpToDate>
  <CharactersWithSpaces>23019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束丹</cp:lastModifiedBy>
  <dcterms:modified xsi:type="dcterms:W3CDTF">2023-10-11T07:45:14Z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702E7649C9BF40BE9A86DF7EF59C229B</vt:lpwstr>
  </property>
</Properties>
</file>