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PWF06GH79TA0T9GRAR80L0S7NLMOSVREO0XFJDVXFG8TGLTZMBR0CJUFSTTPBIRXNM6COLKZIAD8LJJRXFAQFFZ8RM0WMCBAXOOMHB32C4A7CA0C99946D231E37FE110E59D00"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0" w:lineRule="atLeast"/>
        <w:jc w:val="center"/>
        <w:rPr>
          <w:rFonts w:hint="eastAsia" w:ascii="方正黑体_GBK" w:hAnsi="方正黑体_GBK" w:eastAsia="方正黑体_GBK" w:cs="方正黑体_GBK"/>
          <w:b/>
          <w:bCs/>
          <w:vanish w:val="0"/>
          <w:kern w:val="0"/>
          <w:sz w:val="24"/>
          <w:szCs w:val="24"/>
        </w:rPr>
      </w:pPr>
      <w:bookmarkStart w:id="32" w:name="_GoBack"/>
      <w:r>
        <w:rPr>
          <w:rFonts w:hint="eastAsia" w:ascii="方正黑体_GBK" w:hAnsi="方正黑体_GBK" w:eastAsia="方正黑体_GBK" w:cs="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hint="eastAsia" w:ascii="方正黑体_GBK" w:hAnsi="方正黑体_GBK" w:eastAsia="方正黑体_GBK" w:cs="方正黑体_GBK"/>
          <w:vanish w:val="0"/>
          <w:color w:val="3D3D3D"/>
          <w:kern w:val="0"/>
          <w:sz w:val="18"/>
          <w:szCs w:val="18"/>
        </w:rPr>
      </w:pPr>
      <w:r>
        <w:rPr>
          <w:rFonts w:hint="eastAsia" w:ascii="方正黑体_GBK" w:hAnsi="方正黑体_GBK" w:eastAsia="方正黑体_GBK" w:cs="方正黑体_GBK"/>
          <w:b/>
          <w:bCs/>
          <w:i/>
          <w:iCs/>
          <w:vanish w:val="0"/>
          <w:kern w:val="0"/>
          <w:sz w:val="24"/>
          <w:szCs w:val="24"/>
          <w:u w:val="single"/>
        </w:rPr>
        <w:t>“理财非存款、产品有风险、投资须谨慎”！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b/>
          <w:bCs w:val="0"/>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本理财产品是</w:t>
      </w:r>
      <w:r>
        <w:rPr>
          <w:rFonts w:hint="eastAsia" w:ascii="方正黑体_GBK" w:hAnsi="方正黑体_GBK" w:eastAsia="方正黑体_GBK" w:cs="方正黑体_GBK"/>
          <w:b/>
          <w:bCs w:val="0"/>
          <w:i/>
          <w:iCs/>
          <w:vanish w:val="0"/>
          <w:color w:val="3D3D3D"/>
          <w:kern w:val="0"/>
          <w:sz w:val="20"/>
          <w:szCs w:val="20"/>
          <w:u w:val="single"/>
        </w:rPr>
        <w:t>开放式、固定收益类、公募、净值型</w:t>
      </w:r>
      <w:r>
        <w:rPr>
          <w:rFonts w:hint="eastAsia" w:ascii="方正黑体_GBK" w:hAnsi="方正黑体_GBK" w:eastAsia="方正黑体_GBK" w:cs="方正黑体_GBK"/>
          <w:b/>
          <w:bCs w:val="0"/>
          <w:vanish w:val="0"/>
          <w:color w:val="3D3D3D"/>
          <w:kern w:val="0"/>
          <w:sz w:val="13"/>
          <w:szCs w:val="13"/>
        </w:rPr>
        <w:t>理财产品，</w:t>
      </w:r>
      <w:r>
        <w:rPr>
          <w:rFonts w:hint="eastAsia" w:ascii="方正黑体_GBK" w:hAnsi="方正黑体_GBK" w:eastAsia="方正黑体_GBK" w:cs="方正黑体_GBK"/>
          <w:b/>
          <w:bCs w:val="0"/>
          <w:i/>
          <w:iCs/>
          <w:vanish w:val="0"/>
          <w:color w:val="3D3D3D"/>
          <w:kern w:val="0"/>
          <w:sz w:val="20"/>
          <w:szCs w:val="20"/>
          <w:u w:val="single"/>
        </w:rPr>
        <w:t>不保证本金和收益</w:t>
      </w:r>
      <w:r>
        <w:rPr>
          <w:rFonts w:hint="eastAsia" w:ascii="方正黑体_GBK" w:hAnsi="方正黑体_GBK" w:eastAsia="方正黑体_GBK" w:cs="方正黑体_GBK"/>
          <w:b/>
          <w:bCs w:val="0"/>
          <w:vanish w:val="0"/>
          <w:color w:val="3D3D3D"/>
          <w:kern w:val="0"/>
          <w:sz w:val="13"/>
          <w:szCs w:val="13"/>
        </w:rPr>
        <w:t>，您（以下或称为“投资者”）的本金与收益可能会蒙受全部或部分损失，在您选择购买本理财产品前，您应仔细阅读对应期次的《理财产品风险揭示书》《理财产品说明书》《投资者权益须知》《理财产品销售协议书》和《理财产品投资协议书》（以下合称“理财产品销售文件”），了解本理财产品信息及详细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b/>
          <w:bCs w:val="0"/>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重要提示：南银理财有限责任公司（以下简称为“南银理财”、“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充分了解风险，自主选择购买”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1"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第一条 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理财产品投资不同类型的资产可能面临的市场风险包括但不限于：1.理财产品投资债券等固定收益率资产将面临利率、汇率变化等市场风险以及债券价格波动风险；2.理财产品投资股票等权益类资产将面临股票价格波动风险和股票发行人的经营风险、管理风险等风险；3.理财产品投资商品及金融衍生品类产品可能面临衍生品公允价值变化风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（十五）操作风险：若管理人、销售机构、托管机构由于内部作业、人员管理及系统操作不当或失误，处理事务不当等，可能导致本理财产品的本金及收益遭受损失。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六）代销风险：本理财产品通过代销机构销售时，认购/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申购资金划转至南银理财，将导致投资者无法完成认购/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kern w:val="0"/>
          <w:sz w:val="13"/>
          <w:szCs w:val="13"/>
        </w:rPr>
        <w:t>（十七）未知价风险：净值型产品采用“金额申购、份额赎回”原则，即产品认/申购以金额申请，赎回以份额申请，认/申购与赎回价格以“未知价原则”受理申请。“未知价原则”，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cs="方正黑体_GBK"/>
        </w:rPr>
      </w:pPr>
      <w:r>
        <w:rPr>
          <w:rFonts w:hint="eastAsia" w:ascii="方正黑体_GBK" w:hAnsi="方正黑体_GBK" w:eastAsia="方正黑体_GBK" w:cs="方正黑体_GBK"/>
          <w:vanish w:val="0"/>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3D3D3D"/>
          <w:sz w:val="13"/>
          <w:szCs w:val="13"/>
        </w:rPr>
        <w:t xml:space="preserve"> </w:t>
      </w:r>
      <w:r>
        <w:rPr>
          <w:rFonts w:hint="eastAsia" w:ascii="方正黑体_GBK" w:hAnsi="方正黑体_GBK" w:eastAsia="方正黑体_GBK" w:cs="方正黑体_GBK"/>
          <w:vanish w:val="0"/>
          <w:color w:val="3D3D3D"/>
          <w:kern w:val="0"/>
          <w:sz w:val="13"/>
          <w:szCs w:val="13"/>
        </w:rPr>
        <w:t>第二条 本理财产品特定风险揭示</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1.债券类资产投资风险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2.资产管理产品投资风险</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3"/>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本理财产品</w:t>
      </w:r>
      <w:r>
        <w:rPr>
          <w:rFonts w:hint="eastAsia" w:ascii="方正黑体_GBK" w:hAnsi="方正黑体_GBK" w:eastAsia="方正黑体_GBK" w:cs="方正黑体_GBK"/>
          <w:b/>
          <w:bCs/>
          <w:color w:val="3D3D3D"/>
          <w:kern w:val="0"/>
          <w:sz w:val="13"/>
          <w:szCs w:val="13"/>
        </w:rPr>
        <w:t>类型：开放式、固定收益类、公募、净值型。</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l="0"/>
          <w:vanish w:val="0"/>
          <w:color w:val="3D3D3D"/>
          <w:kern w:val="0"/>
          <w:sz w:val="13"/>
          <w:szCs w:val="13"/>
        </w:rPr>
        <w:t>本理财产品期限为</w:t>
      </w:r>
      <w:r>
        <w:rPr>
          <w:rFonts w:hint="eastAsia" w:ascii="方正黑体_GBK" w:hAnsi="方正黑体_GBK" w:eastAsia="方正黑体_GBK" w:cs="方正黑体_GBK"/>
          <w:b/>
          <w:bCs/>
          <w:color w:val="3D3D3D"/>
          <w:kern w:val="0"/>
          <w:sz w:val="13"/>
          <w:szCs w:val="13"/>
          <w:lang w:val="en-US" w:eastAsia="zh-CN"/>
        </w:rPr>
        <w:t>10</w:t>
      </w:r>
      <w:r>
        <w:rPr>
          <w:rFonts w:hint="eastAsia" w:ascii="方正黑体_GBK" w:hAnsi="方正黑体_GBK" w:eastAsia="方正黑体_GBK" w:cs="方正黑体_GBK"/>
          <w:b/>
          <w:bCs/>
          <w:color w:val="3D3D3D"/>
          <w:kern w:val="0"/>
          <w:sz w:val="13"/>
          <w:szCs w:val="13"/>
        </w:rPr>
        <w:t>年</w:t>
      </w:r>
      <w:r>
        <w:rPr>
          <w:rFonts w:hint="eastAsia" w:ascii="方正黑体_GBK" w:hAnsi="方正黑体_GBK" w:eastAsia="方正黑体_GBK" w:cs="方正黑体_GBK"/>
          <w:b/>
          <w:bCs w:val="0"/>
          <w:vanish w:val="0"/>
          <w:color w:val="3D3D3D"/>
          <w:kern w:val="0"/>
          <w:sz w:val="13"/>
          <w:szCs w:val="13"/>
        </w:rPr>
        <w:t>（若本理财产品被提前终止或延期终止，以实际到期日计算持有天数）。</w:t>
      </w:r>
    </w:p>
    <w:p>
      <w:pPr>
        <w:pStyle w:val="34"/>
        <w:pBdr>
          <w:top w:val="none" w:color="auto" w:sz="0" w:space="0"/>
          <w:left w:val="none" w:color="auto" w:sz="0" w:space="0"/>
          <w:bottom w:val="none" w:color="auto" w:sz="0" w:space="0"/>
          <w:right w:val="none" w:color="auto" w:sz="0" w:space="0"/>
        </w:pBdr>
        <w:spacing w:before="0" w:beforeAutospacing="0" w:after="0" w:afterAutospacing="0" w:line="200" w:lineRule="exact"/>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本理财产品风险评级结果：</w:t>
      </w:r>
      <w:r>
        <w:rPr>
          <w:rFonts w:hint="eastAsia" w:ascii="方正黑体_GBK" w:hAnsi="方正黑体_GBK" w:eastAsia="方正黑体_GBK" w:cs="方正黑体_GBK"/>
          <w:vanish w:val="0"/>
          <w:color w:val="3D3D3D"/>
          <w:kern w:val="0"/>
          <w:sz w:val="13"/>
          <w:szCs w:val="13"/>
        </w:rPr>
        <w:t>根据管理人内部风险评级，该产品风险等级为</w:t>
      </w:r>
      <w:r>
        <w:rPr>
          <w:rFonts w:hint="eastAsia" w:ascii="方正黑体_GBK" w:hAnsi="方正黑体_GBK" w:eastAsia="方正黑体_GBK" w:cs="方正黑体_GBK"/>
          <w:b/>
          <w:bCs w:val="0"/>
          <w:vanish w:val="0"/>
          <w:color w:val="3D3D3D"/>
          <w:kern w:val="0"/>
          <w:sz w:val="13"/>
          <w:szCs w:val="13"/>
        </w:rPr>
        <w:t>中低风险</w:t>
      </w:r>
      <w:r>
        <w:rPr>
          <w:rFonts w:hint="eastAsia" w:ascii="方正黑体_GBK" w:hAnsi="方正黑体_GBK" w:eastAsia="方正黑体_GBK" w:cs="方正黑体_GBK"/>
          <w:vanish w:val="0"/>
          <w:color w:val="3D3D3D"/>
          <w:kern w:val="0"/>
          <w:sz w:val="13"/>
          <w:szCs w:val="13"/>
        </w:rPr>
        <w:t>。</w:t>
      </w:r>
      <w:r>
        <w:rPr>
          <w:rFonts w:hint="eastAsia" w:ascii="方正黑体_GBK" w:hAnsi="方正黑体_GBK" w:eastAsia="方正黑体_GBK" w:cs="方正黑体_GBK"/>
          <w:b/>
          <w:bCs w:val="0"/>
          <w:vanish w:val="0"/>
          <w:color w:val="3D3D3D"/>
          <w:kern w:val="0"/>
          <w:sz w:val="13"/>
          <w:szCs w:val="13"/>
        </w:rPr>
        <w:t xml:space="preserve"> </w:t>
      </w:r>
      <w:r>
        <w:rPr>
          <w:rFonts w:hint="eastAsia" w:ascii="方正黑体_GBK" w:hAnsi="方正黑体_GBK" w:eastAsia="方正黑体_GBK" w:cs="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cs="方正黑体_GBK"/>
          <w:vanish w:val="0"/>
          <w:color w:val="3D3D3D"/>
          <w:kern w:val="0"/>
          <w:sz w:val="13"/>
          <w:szCs w:val="13"/>
        </w:rPr>
        <w:t>。</w:t>
      </w:r>
    </w:p>
    <w:p>
      <w:pPr>
        <w:pStyle w:val="34"/>
        <w:pBdr>
          <w:top w:val="none" w:color="auto" w:sz="0" w:space="0"/>
          <w:left w:val="none" w:color="auto" w:sz="0" w:space="0"/>
          <w:bottom w:val="none" w:color="auto" w:sz="0" w:space="0"/>
          <w:right w:val="none" w:color="auto" w:sz="0" w:space="0"/>
        </w:pBdr>
        <w:spacing w:before="0" w:beforeAutospacing="0" w:after="0" w:afterAutospacing="0" w:line="200" w:lineRule="exact"/>
        <w:ind w:firstLine="261" w:firstLineChars="20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本风险等级为南银理财风险评级结果，该产品通过代理销售机构渠道销售的，理财产品评级应当以代理销售机构最终披露的评级结果为准。</w:t>
      </w:r>
      <w:r>
        <w:rPr>
          <w:rFonts w:hint="eastAsia" w:ascii="方正黑体_GBK" w:hAnsi="方正黑体_GBK" w:eastAsia="方正黑体_GBK" w:cs="方正黑体_GBK"/>
          <w:vanish w:val="0"/>
          <w:color w:val="3D3D3D"/>
          <w:kern w:val="0"/>
          <w:sz w:val="13"/>
          <w:szCs w:val="13"/>
        </w:rPr>
        <w:t>您需充分认识投资风险，谨慎投资。</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1" w:firstLineChars="20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适合购买本理财产品的投资者：</w:t>
      </w:r>
      <w:r>
        <w:rPr>
          <w:rFonts w:hint="eastAsia" w:ascii="方正黑体_GBK" w:hAnsi="方正黑体_GBK" w:eastAsia="方正黑体_GBK" w:cs="方正黑体_GBK"/>
          <w:vanish w:val="0"/>
          <w:color w:val="3D3D3D"/>
          <w:kern w:val="0"/>
          <w:sz w:val="13"/>
          <w:szCs w:val="13"/>
        </w:rPr>
        <w:t>符合相关法律法规、监管规定要求的，经销售机构的风险承受能力评估体系评定为适合的个人和机构投资者</w:t>
      </w:r>
      <w:r>
        <w:rPr>
          <w:rFonts w:hint="eastAsia" w:ascii="方正黑体_GBK" w:hAnsi="方正黑体_GBK" w:eastAsia="方正黑体_GBK" w:cs="方正黑体_GBK"/>
          <w:b/>
          <w:bCs/>
          <w:vanish w:val="0"/>
          <w:color w:val="3D3D3D"/>
          <w:kern w:val="0"/>
          <w:sz w:val="13"/>
          <w:szCs w:val="13"/>
        </w:rPr>
        <w:t>。</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vanish w:val="0"/>
          <w:kern w:val="2"/>
          <w:sz w:val="21"/>
          <w:szCs w:val="21"/>
        </w:rPr>
      </w:pPr>
      <w:r>
        <w:rPr>
          <w:rFonts w:hint="eastAsia" w:ascii="方正黑体_GBK" w:hAnsi="方正黑体_GBK" w:eastAsia="方正黑体_GBK" w:cs="方正黑体_GBK"/>
          <w:b/>
          <w:bCs/>
          <w:vanish w:val="0"/>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0，即投资者面临全部本金的损失。为保证当期理财投资者权益而产生的费用由当期理财产品承担。</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hint="eastAsia" w:ascii="方正黑体_GBK" w:hAnsi="方正黑体_GBK" w:eastAsia="方正黑体_GBK" w:cs="方正黑体_GBK"/>
          <w:b/>
          <w:bCs/>
          <w:vanish w:val="0"/>
          <w:color w:val="3D3D3D"/>
          <w:kern w:val="0"/>
          <w:sz w:val="13"/>
          <w:szCs w:val="13"/>
        </w:rPr>
      </w:pPr>
      <w:r>
        <w:rPr>
          <w:rFonts w:hint="eastAsia" w:ascii="方正黑体_GBK" w:hAnsi="方正黑体_GBK" w:eastAsia="方正黑体_GBK" w:cs="方正黑体_GBK"/>
          <w:b/>
          <w:bCs/>
          <w:vanish w:val="0"/>
          <w:color w:val="3D3D3D"/>
          <w:kern w:val="0"/>
          <w:sz w:val="13"/>
          <w:szCs w:val="13"/>
        </w:rPr>
        <w:t>示例：如投资者购买本理财产品，本金为1万元，在理财产品资产组合项下资产全部亏损的最不利情况下，理财产品1万元本金将全部损失。</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方正黑体_GBK"/>
          <w:b/>
          <w:bCs w:val="0"/>
          <w:vanish w:val="0"/>
          <w:color w:val="3D3D3D"/>
          <w:kern w:val="0"/>
          <w:sz w:val="13"/>
          <w:szCs w:val="13"/>
        </w:rPr>
      </w:pP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上述风险客观存在，敬请投资者予以充分关注！</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hint="eastAsia" w:ascii="方正黑体_GBK" w:hAnsi="方正黑体_GBK" w:eastAsia="方正黑体_GBK" w:cs="方正黑体_GBK"/>
          <w:b/>
          <w:bCs w:val="0"/>
          <w:vanish w:val="0"/>
          <w:color w:val="3D3D3D"/>
          <w:kern w:val="0"/>
          <w:sz w:val="15"/>
          <w:szCs w:val="15"/>
          <w:u w:val="single"/>
        </w:rPr>
      </w:pPr>
    </w:p>
    <w:p>
      <w:pPr>
        <w:pStyle w:val="33"/>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cs="方正黑体_GBK"/>
          <w:b/>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1.</w:t>
      </w:r>
      <w:r>
        <w:rPr>
          <w:rFonts w:hint="eastAsia" w:ascii="方正黑体_GBK" w:hAnsi="方正黑体_GBK" w:eastAsia="方正黑体_GBK" w:cs="方正黑体_GBK"/>
          <w:b/>
          <w:bCs w:val="0"/>
          <w:vanish w:val="0"/>
          <w:color w:val="3D3D3D"/>
          <w:kern w:val="0"/>
          <w:sz w:val="15"/>
          <w:szCs w:val="15"/>
          <w:u w:val="single"/>
        </w:rPr>
        <w:t>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购买本理财产品为本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真实的意思表示,并认为该理财产品完全适合本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的投资目标、投资预期以及风险承受能力，本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自愿承担由此带来的一切后果。本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确认南银理财/销售机构相关业务人员对于理财产品销售文件中限制或排除本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权利、增加或加重本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2.</w:t>
      </w:r>
      <w:r>
        <w:rPr>
          <w:rFonts w:hint="eastAsia" w:ascii="方正黑体_GBK" w:hAnsi="方正黑体_GBK" w:eastAsia="方正黑体_GBK" w:cs="方正黑体_GBK"/>
          <w:b/>
          <w:bCs w:val="0"/>
          <w:vanish w:val="0"/>
          <w:color w:val="3D3D3D"/>
          <w:kern w:val="0"/>
          <w:sz w:val="15"/>
          <w:szCs w:val="15"/>
          <w:u w:val="single"/>
        </w:rPr>
        <w:t>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确认，将向本理财产品销售机构真实提供信息，自主作出认购/申购/赎回等决定，自主承担投资风险。本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相应的后果和责任，并有权拒绝向本</w:t>
      </w:r>
      <w:r>
        <w:rPr>
          <w:rFonts w:hint="eastAsia" w:ascii="方正黑体_GBK" w:hAnsi="方正黑体_GBK" w:eastAsia="方正黑体_GBK" w:cs="方正黑体_GBK"/>
          <w:b/>
          <w:bCs/>
          <w:vanish w:val="0"/>
          <w:color w:val="3D3D3D"/>
          <w:kern w:val="0"/>
          <w:sz w:val="15"/>
          <w:szCs w:val="15"/>
          <w:u w:val="single"/>
        </w:rPr>
        <w:t>投资者</w:t>
      </w:r>
      <w:r>
        <w:rPr>
          <w:rFonts w:hint="eastAsia" w:ascii="方正黑体_GBK" w:hAnsi="方正黑体_GBK" w:eastAsia="方正黑体_GBK" w:cs="方正黑体_GBK"/>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3.</w:t>
      </w:r>
      <w:r>
        <w:rPr>
          <w:rFonts w:hint="eastAsia" w:ascii="方正黑体_GBK" w:hAnsi="方正黑体_GBK" w:eastAsia="方正黑体_GBK" w:cs="方正黑体_GBK"/>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4.</w:t>
      </w:r>
      <w:r>
        <w:rPr>
          <w:rFonts w:hint="eastAsia" w:ascii="方正黑体_GBK" w:hAnsi="方正黑体_GBK" w:eastAsia="方正黑体_GBK" w:cs="方正黑体_GBK"/>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5.</w:t>
      </w:r>
      <w:r>
        <w:rPr>
          <w:rFonts w:hint="eastAsia" w:ascii="方正黑体_GBK" w:hAnsi="方正黑体_GBK" w:eastAsia="方正黑体_GBK" w:cs="方正黑体_GBK"/>
          <w:b/>
          <w:bCs w:val="0"/>
          <w:vanish w:val="0"/>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6.</w:t>
      </w:r>
      <w:r>
        <w:rPr>
          <w:rFonts w:hint="eastAsia" w:ascii="方正黑体_GBK" w:hAnsi="方正黑体_GBK" w:eastAsia="方正黑体_GBK" w:cs="方正黑体_GBK"/>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b/>
          <w:bCs w:val="0"/>
          <w:vanish w:val="0"/>
          <w:color w:val="3D3D3D"/>
          <w:kern w:val="0"/>
          <w:sz w:val="15"/>
          <w:szCs w:val="15"/>
          <w:u w:val="single"/>
        </w:rPr>
      </w:pPr>
      <w:r>
        <w:rPr>
          <w:rFonts w:hint="eastAsia" w:ascii="方正黑体_GBK" w:hAnsi="方正黑体_GBK" w:eastAsia="方正黑体_GBK" w:cs="方正黑体_GBK"/>
          <w:b/>
          <w:bCs w:val="0"/>
          <w:vanish w:val="0"/>
          <w:color w:val="3D3D3D"/>
          <w:kern w:val="0"/>
          <w:sz w:val="15"/>
          <w:szCs w:val="15"/>
        </w:rPr>
        <w:t>7.</w:t>
      </w:r>
      <w:r>
        <w:rPr>
          <w:rFonts w:hint="eastAsia" w:ascii="方正黑体_GBK" w:hAnsi="方正黑体_GBK" w:eastAsia="方正黑体_GBK" w:cs="方正黑体_GBK"/>
          <w:b/>
          <w:bCs w:val="0"/>
          <w:vanish w:val="0"/>
          <w:color w:val="3D3D3D"/>
          <w:kern w:val="0"/>
          <w:sz w:val="15"/>
          <w:szCs w:val="15"/>
          <w:u w:val="single"/>
        </w:rPr>
        <w:t>如销售机构为管理人关联方的，本投资者认可此等关联方及关联交易情形的存在并自愿承担相关投资风险。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方正黑体_GBK"/>
          <w:vanish w:val="0"/>
          <w:color w:val="3D3D3D"/>
          <w:kern w:val="0"/>
          <w:sz w:val="15"/>
          <w:szCs w:val="15"/>
          <w:u w:val="single"/>
        </w:rPr>
      </w:pPr>
      <w:r>
        <w:rPr>
          <w:rFonts w:hint="eastAsia" w:ascii="方正黑体_GBK" w:hAnsi="方正黑体_GBK" w:eastAsia="方正黑体_GBK" w:cs="方正黑体_GBK"/>
          <w:vanish w:val="0"/>
          <w:color w:val="3D3D3D"/>
          <w:kern w:val="0"/>
          <w:sz w:val="15"/>
          <w:szCs w:val="15"/>
        </w:rPr>
        <w:t>8.以下划线部分，请投资者抄录确认：“</w:t>
      </w:r>
      <w:r>
        <w:rPr>
          <w:rFonts w:hint="eastAsia" w:ascii="方正黑体_GBK" w:hAnsi="方正黑体_GBK" w:eastAsia="方正黑体_GBK" w:cs="方正黑体_GBK"/>
          <w:b/>
          <w:bCs w:val="0"/>
          <w:vanish w:val="0"/>
          <w:color w:val="3D3D3D"/>
          <w:kern w:val="0"/>
          <w:sz w:val="15"/>
          <w:szCs w:val="15"/>
          <w:u w:val="single"/>
        </w:rPr>
        <w:t>本人已经阅读风险揭示，愿意承担投资风险</w:t>
      </w:r>
      <w:r>
        <w:rPr>
          <w:rFonts w:hint="eastAsia" w:ascii="方正黑体_GBK" w:hAnsi="方正黑体_GBK" w:eastAsia="方正黑体_GBK" w:cs="方正黑体_GBK"/>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投资者抄录：</w:t>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r>
        <w:rPr>
          <w:rFonts w:hint="eastAsia" w:ascii="方正黑体_GBK" w:hAnsi="方正黑体_GBK" w:eastAsia="方正黑体_GBK" w:cs="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hint="eastAsia" w:ascii="方正黑体_GBK" w:hAnsi="方正黑体_GBK" w:eastAsia="方正黑体_GBK" w:cs="方正黑体_GBK"/>
          <w:vanish w:val="0"/>
          <w:color w:val="3D3D3D"/>
          <w:kern w:val="0"/>
          <w:sz w:val="13"/>
          <w:szCs w:val="13"/>
        </w:rPr>
      </w:pPr>
    </w:p>
    <w:tbl>
      <w:tblPr>
        <w:tblStyle w:val="16"/>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b/>
                <w:bCs w:val="0"/>
                <w:vanish w:val="0"/>
                <w:kern w:val="2"/>
                <w:sz w:val="15"/>
                <w:szCs w:val="15"/>
              </w:rPr>
            </w:pPr>
            <w:r>
              <w:rPr>
                <w:rFonts w:hint="eastAsia" w:ascii="方正黑体_GBK" w:hAnsi="方正黑体_GBK" w:eastAsia="方正黑体_GBK" w:cs="方正黑体_GBK"/>
                <w:b/>
                <w:bCs w:val="0"/>
                <w:vanish w:val="0"/>
                <w:kern w:val="2"/>
                <w:sz w:val="15"/>
                <w:szCs w:val="15"/>
              </w:rPr>
              <w:t>个人投资者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hint="eastAsia" w:ascii="方正黑体_GBK" w:hAnsi="方正黑体_GBK" w:eastAsia="方正黑体_GBK" w:cs="方正黑体_GBK"/>
                <w:vanish w:val="0"/>
                <w:color w:val="3D3D3D"/>
                <w:kern w:val="0"/>
                <w:sz w:val="13"/>
                <w:szCs w:val="13"/>
              </w:rPr>
            </w:pPr>
            <w:r>
              <w:rPr>
                <w:rFonts w:hint="eastAsia" w:ascii="方正黑体_GBK" w:hAnsi="方正黑体_GBK" w:eastAsia="方正黑体_GBK" w:cs="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vanish w:val="0"/>
                <w:color w:val="3D3D3D"/>
                <w:kern w:val="0"/>
                <w:sz w:val="13"/>
                <w:szCs w:val="13"/>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nish w:val="0"/>
                <w:color w:val="3D3D3D"/>
                <w:kern w:val="0"/>
                <w:sz w:val="15"/>
                <w:szCs w:val="15"/>
              </w:rPr>
              <w:t>机构投资者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 xml:space="preserve">法定代表人或授权代理人（签名或盖章）： </w:t>
            </w:r>
            <w:r>
              <w:rPr>
                <w:rFonts w:hint="eastAsia" w:ascii="方正黑体_GBK" w:hAnsi="方正黑体_GBK" w:eastAsia="方正黑体_GBK" w:cs="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vanish w:val="0"/>
                <w:color w:val="3D3D3D"/>
                <w:kern w:val="0"/>
                <w:sz w:val="13"/>
                <w:szCs w:val="13"/>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nish w:val="0"/>
                <w:color w:val="auto"/>
                <w:kern w:val="2"/>
                <w:sz w:val="15"/>
                <w:szCs w:val="15"/>
              </w:rPr>
              <w:t>电子渠道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1" w:firstLineChars="200"/>
              <w:rPr>
                <w:rFonts w:hint="eastAsia" w:ascii="方正黑体_GBK" w:hAnsi="方正黑体_GBK" w:eastAsia="方正黑体_GBK" w:cs="方正黑体_GBK"/>
                <w:vanish w:val="0"/>
                <w:color w:val="auto"/>
                <w:kern w:val="2"/>
                <w:sz w:val="15"/>
                <w:szCs w:val="15"/>
              </w:rPr>
            </w:pPr>
            <w:r>
              <w:rPr>
                <w:rFonts w:hint="eastAsia" w:ascii="方正黑体_GBK" w:hAnsi="方正黑体_GBK" w:eastAsia="方正黑体_GBK" w:cs="方正黑体_GBK"/>
                <w:b/>
                <w:bCs w:val="0"/>
                <w:vanish w:val="0"/>
                <w:color w:val="3D3D3D"/>
                <w:kern w:val="0"/>
                <w:sz w:val="15"/>
                <w:szCs w:val="15"/>
                <w:u w:val="single"/>
              </w:rPr>
              <w:t>如投资者通过电子渠道（包括但不限于网上银行、手机银行或官方网站等）购买本理财产品的，</w:t>
            </w:r>
            <w:r>
              <w:rPr>
                <w:rFonts w:hint="eastAsia" w:ascii="方正黑体_GBK" w:hAnsi="方正黑体_GBK" w:eastAsia="方正黑体_GBK" w:cs="方正黑体_GBK"/>
                <w:vanish w:val="0"/>
                <w:spacing w:val="10"/>
                <w:kern w:val="2"/>
                <w:sz w:val="15"/>
                <w:szCs w:val="15"/>
              </w:rPr>
              <w:t>本风险揭示书以数据电文形式订立，</w:t>
            </w:r>
            <w:r>
              <w:rPr>
                <w:rFonts w:hint="eastAsia" w:ascii="方正黑体_GBK" w:hAnsi="方正黑体_GBK" w:eastAsia="方正黑体_GBK" w:cs="方正黑体_GBK"/>
                <w:b/>
                <w:bCs w:val="0"/>
                <w:vanish w:val="0"/>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ascii="方正黑体_GBK" w:hAnsi="方正黑体_GBK" w:eastAsia="方正黑体_GBK" w:cs="方正黑体_GBK"/>
                <w:vanish w:val="0"/>
                <w:spacing w:val="10"/>
                <w:kern w:val="2"/>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pPr>
        <w:rPr>
          <w:rFonts w:hint="eastAsia" w:ascii="方正黑体_GBK" w:hAnsi="方正黑体_GBK" w:eastAsia="方正黑体_GBK" w:cs="方正黑体_GBK"/>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caps w:val="0"/>
          <w:smallCaps w:val="0"/>
          <w:snapToGrid/>
          <w:vanish w:val="0"/>
          <w:color w:val="auto"/>
          <w:kern w:val="0"/>
          <w:sz w:val="24"/>
          <w:szCs w:val="24"/>
          <w:vertAlign w:val="baseline"/>
        </w:rPr>
        <w:sectPr>
          <w:headerReference r:id="rId5" w:type="default"/>
          <w:pgSz w:w="11907" w:h="16839"/>
          <w:pgMar w:top="720" w:right="720" w:bottom="720" w:left="720" w:header="851" w:footer="992" w:gutter="0"/>
          <w:cols w:space="720" w:num="1"/>
          <w:docGrid w:type="lines" w:linePitch="312"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caps w:val="0"/>
          <w:smallCaps w:val="0"/>
          <w:snapToGrid/>
          <w:vanish w:val="0"/>
          <w:color w:val="auto"/>
          <w:kern w:val="0"/>
          <w:sz w:val="24"/>
          <w:szCs w:val="24"/>
          <w:vertAlign w:val="baseline"/>
        </w:rPr>
      </w:pPr>
      <w:r>
        <w:rPr>
          <w:rFonts w:hint="eastAsia" w:ascii="方正黑体_GBK" w:hAnsi="方正黑体_GBK" w:eastAsia="方正黑体_GBK" w:cs="方正黑体_GBK"/>
          <w:b/>
          <w:bCs/>
          <w:caps w:val="0"/>
          <w:smallCaps w:val="0"/>
          <w:snapToGrid/>
          <w:vanish w:val="0"/>
          <w:color w:val="auto"/>
          <w:kern w:val="0"/>
          <w:sz w:val="24"/>
          <w:szCs w:val="24"/>
          <w:vertAlign w:val="baseline"/>
        </w:rPr>
        <w:t>理财产品说明书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hint="eastAsia" w:ascii="方正黑体_GBK" w:hAnsi="方正黑体_GBK" w:eastAsia="方正黑体_GBK" w:cs="方正黑体_GBK"/>
          <w:b/>
          <w:bCs/>
          <w:i/>
          <w:iCs/>
          <w:caps w:val="0"/>
          <w:smallCaps w:val="0"/>
          <w:snapToGrid/>
          <w:vanish w:val="0"/>
          <w:color w:val="auto"/>
          <w:kern w:val="0"/>
          <w:sz w:val="24"/>
          <w:szCs w:val="24"/>
          <w:u w:val="single"/>
          <w:vertAlign w:val="baseline"/>
        </w:rPr>
      </w:pPr>
      <w:r>
        <w:rPr>
          <w:rFonts w:hint="eastAsia" w:ascii="方正黑体_GBK" w:hAnsi="方正黑体_GBK" w:eastAsia="方正黑体_GBK" w:cs="方正黑体_GBK"/>
          <w:b/>
          <w:bCs/>
          <w:i/>
          <w:iCs/>
          <w:caps w:val="0"/>
          <w:smallCaps w:val="0"/>
          <w:snapToGrid/>
          <w:vanish w:val="0"/>
          <w:color w:val="auto"/>
          <w:kern w:val="0"/>
          <w:sz w:val="24"/>
          <w:szCs w:val="24"/>
          <w:u w:val="single"/>
          <w:vertAlign w:val="baseline"/>
        </w:rPr>
        <w:t>“理财非存款、产品有风险、投资须谨慎”！</w:t>
      </w:r>
    </w:p>
    <w:p>
      <w:pPr>
        <w:pStyle w:val="15"/>
        <w:keepNext w:val="0"/>
        <w:keepLines w:val="0"/>
        <w:pageBreakBefore w:val="0"/>
        <w:widowControl/>
        <w:suppressLineNumbers w:val="0"/>
        <w:suppressAutoHyphens w:val="0"/>
        <w:spacing w:line="200" w:lineRule="exact"/>
        <w:ind w:firstLine="0"/>
        <w:jc w:val="both"/>
        <w:textAlignment w:val="baseline"/>
        <w:rPr>
          <w:rFonts w:hint="eastAsia" w:ascii="方正黑体_GBK" w:hAnsi="方正黑体_GBK" w:eastAsia="方正黑体_GBK" w:cs="方正黑体_GBK"/>
          <w:b/>
          <w:bCs w:val="0"/>
          <w:caps w:val="0"/>
          <w:smallCaps w:val="0"/>
          <w:snapToGrid/>
          <w:vanish w:val="0"/>
          <w:color w:val="3D3D3D"/>
          <w:kern w:val="0"/>
          <w:sz w:val="15"/>
          <w:szCs w:val="15"/>
          <w:vertAlign w:val="baseline"/>
        </w:rPr>
      </w:pPr>
      <w:r>
        <w:rPr>
          <w:rFonts w:hint="eastAsia" w:ascii="方正黑体_GBK" w:hAnsi="方正黑体_GBK" w:eastAsia="方正黑体_GBK" w:cs="方正黑体_GBK"/>
          <w:b/>
          <w:bCs w:val="0"/>
          <w:caps w:val="0"/>
          <w:smallCaps w:val="0"/>
          <w:snapToGrid/>
          <w:vanish w:val="0"/>
          <w:color w:val="3D3D3D"/>
          <w:kern w:val="0"/>
          <w:sz w:val="15"/>
          <w:szCs w:val="15"/>
          <w:vertAlign w:val="baseline"/>
        </w:rPr>
        <w:t>第一条  产品基本要素</w:t>
      </w:r>
    </w:p>
    <w:tbl>
      <w:tblPr>
        <w:tblStyle w:val="16"/>
        <w:tblW w:w="1009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1824"/>
        <w:gridCol w:w="82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产品名称</w:t>
            </w:r>
          </w:p>
        </w:tc>
        <w:tc>
          <w:tcPr>
            <w:tcW w:w="8275"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lang w:eastAsia="zh-CN"/>
              </w:rPr>
            </w:pPr>
            <w:r>
              <w:rPr>
                <w:rFonts w:hint="eastAsia" w:ascii="方正黑体_GBK" w:hAnsi="方正黑体_GBK" w:eastAsia="方正黑体_GBK" w:cs="方正黑体_GBK"/>
                <w:caps w:val="0"/>
                <w:smallCaps w:val="0"/>
                <w:snapToGrid/>
                <w:vanish w:val="0"/>
                <w:color w:val="auto"/>
                <w:kern w:val="0"/>
                <w:sz w:val="18"/>
                <w:szCs w:val="18"/>
                <w:vertAlign w:val="baseline"/>
                <w:lang w:eastAsia="zh-CN"/>
              </w:rPr>
              <w:t>南银理财鼎瑞悦稳（最低持有</w:t>
            </w:r>
            <w:r>
              <w:rPr>
                <w:rFonts w:hint="eastAsia" w:ascii="方正黑体_GBK" w:hAnsi="方正黑体_GBK" w:eastAsia="方正黑体_GBK" w:cs="方正黑体_GBK"/>
                <w:caps w:val="0"/>
                <w:smallCaps w:val="0"/>
                <w:snapToGrid/>
                <w:vanish w:val="0"/>
                <w:color w:val="auto"/>
                <w:kern w:val="0"/>
                <w:sz w:val="18"/>
                <w:szCs w:val="18"/>
                <w:vertAlign w:val="baseline"/>
                <w:lang w:val="en-US" w:eastAsia="zh-CN"/>
              </w:rPr>
              <w:t>7</w:t>
            </w:r>
            <w:r>
              <w:rPr>
                <w:rFonts w:hint="eastAsia" w:ascii="方正黑体_GBK" w:hAnsi="方正黑体_GBK" w:eastAsia="方正黑体_GBK" w:cs="方正黑体_GBK"/>
                <w:caps w:val="0"/>
                <w:smallCaps w:val="0"/>
                <w:snapToGrid/>
                <w:vanish w:val="0"/>
                <w:color w:val="auto"/>
                <w:kern w:val="0"/>
                <w:sz w:val="18"/>
                <w:szCs w:val="18"/>
                <w:vertAlign w:val="baseline"/>
                <w:lang w:eastAsia="zh-CN"/>
              </w:rPr>
              <w:t>天）公募人民币理财产品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产品类型</w:t>
            </w:r>
          </w:p>
        </w:tc>
        <w:tc>
          <w:tcPr>
            <w:tcW w:w="827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开放式、固定收益类、公募、净值型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募集方式</w:t>
            </w:r>
          </w:p>
        </w:tc>
        <w:tc>
          <w:tcPr>
            <w:tcW w:w="827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公开募集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理财产品代码</w:t>
            </w:r>
          </w:p>
        </w:tc>
        <w:tc>
          <w:tcPr>
            <w:tcW w:w="8275" w:type="dxa"/>
            <w:tcBorders>
              <w:top w:val="single" w:color="auto" w:sz="2"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ZZ700322301901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产品登记编码</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Z7003223000162(投资者可依据该编码在中国理财网www.chinawealth.com.cn查询理财产品相关信息）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内部销售代码</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lang w:val="en-US" w:eastAsia="zh-CN"/>
              </w:rPr>
            </w:pPr>
            <w:r>
              <w:rPr>
                <w:rFonts w:hint="eastAsia" w:ascii="方正黑体_GBK" w:hAnsi="方正黑体_GBK" w:eastAsia="方正黑体_GBK" w:cs="方正黑体_GBK"/>
                <w:sz w:val="18"/>
              </w:rPr>
              <w:t>A份额：A320</w:t>
            </w:r>
            <w:r>
              <w:rPr>
                <w:rFonts w:hint="eastAsia" w:ascii="方正黑体_GBK" w:hAnsi="方正黑体_GBK" w:eastAsia="方正黑体_GBK" w:cs="方正黑体_GBK"/>
                <w:sz w:val="18"/>
                <w:lang w:val="en-US" w:eastAsia="zh-CN"/>
              </w:rPr>
              <w:t>11</w:t>
            </w:r>
          </w:p>
          <w:p>
            <w:pPr>
              <w:shd w:val="clear" w:color="auto" w:fill="auto"/>
              <w:spacing w:line="200" w:lineRule="exact"/>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B份额：A3201</w:t>
            </w:r>
            <w:r>
              <w:rPr>
                <w:rFonts w:hint="eastAsia" w:ascii="方正黑体_GBK" w:hAnsi="方正黑体_GBK" w:eastAsia="方正黑体_GBK" w:cs="方正黑体_GBK"/>
                <w:sz w:val="18"/>
                <w:lang w:val="en-US" w:eastAsia="zh-CN"/>
              </w:rPr>
              <w:t>2</w:t>
            </w:r>
          </w:p>
          <w:p>
            <w:pPr>
              <w:shd w:val="clear" w:color="auto" w:fill="auto"/>
              <w:spacing w:line="200" w:lineRule="exac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 w:val="18"/>
                <w:lang w:val="en-US" w:eastAsia="zh-CN"/>
              </w:rPr>
              <w:t>C</w:t>
            </w:r>
            <w:r>
              <w:rPr>
                <w:rFonts w:hint="eastAsia" w:ascii="方正黑体_GBK" w:hAnsi="方正黑体_GBK" w:eastAsia="方正黑体_GBK" w:cs="方正黑体_GBK"/>
                <w:sz w:val="18"/>
              </w:rPr>
              <w:t>份额：A320</w:t>
            </w:r>
            <w:r>
              <w:rPr>
                <w:rFonts w:hint="eastAsia" w:ascii="方正黑体_GBK" w:hAnsi="方正黑体_GBK" w:eastAsia="方正黑体_GBK" w:cs="方正黑体_GBK"/>
                <w:sz w:val="18"/>
                <w:lang w:val="en-US" w:eastAsia="zh-CN"/>
              </w:rPr>
              <w:t>13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理财期限</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lang w:val="en-US" w:eastAsia="zh-CN"/>
              </w:rPr>
              <w:t>10</w:t>
            </w:r>
            <w:r>
              <w:rPr>
                <w:rFonts w:hint="eastAsia" w:ascii="方正黑体_GBK" w:hAnsi="方正黑体_GBK" w:eastAsia="方正黑体_GBK" w:cs="方正黑体_GBK"/>
                <w:sz w:val="18"/>
              </w:rPr>
              <w:t>年</w:t>
            </w:r>
            <w:r>
              <w:rPr>
                <w:rFonts w:hint="eastAsia" w:ascii="方正黑体_GBK" w:hAnsi="方正黑体_GBK" w:eastAsia="方正黑体_GBK" w:cs="方正黑体_GBK"/>
                <w:sz w:val="18"/>
                <w:lang w:val="en-US" w:eastAsia="zh-CN"/>
              </w:rPr>
              <w:t>（管理人有权提前终止或延期终止）</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销售区域</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全国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币种</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人民币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产品规模</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产品募集规模上限为</w:t>
            </w:r>
            <w:r>
              <w:rPr>
                <w:rFonts w:hint="eastAsia" w:ascii="方正黑体_GBK" w:hAnsi="方正黑体_GBK" w:eastAsia="方正黑体_GBK" w:cs="方正黑体_GBK"/>
                <w:sz w:val="18"/>
                <w:lang w:val="en-US" w:eastAsia="zh-CN"/>
              </w:rPr>
              <w:t>1000</w:t>
            </w:r>
            <w:r>
              <w:rPr>
                <w:rFonts w:hint="eastAsia" w:ascii="方正黑体_GBK" w:hAnsi="方正黑体_GBK" w:eastAsia="方正黑体_GBK" w:cs="方正黑体_GBK"/>
                <w:sz w:val="18"/>
              </w:rPr>
              <w:t>亿元。理财产品管理人有权对上述规模上限根据实际业务需求进行调整。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风险等级</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根据理财产品管理人对理财产品的内部风险评估，本理财产品风险等级为中低风险（本风险等级为管理人内部风险评估结果，仅供参考）。</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代销机构应当设置科学合理的理财产品风险评级的方式和方法，对理财产品进行评级；该产品通过代销机构渠道销售的，理财产品评级应当以代销机构最终披露的评级结果为准。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发行对象</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符合相关法律法规、监管规定要求的，经销售机构的风险承受能力评估体系评定为适合的个人和机构投资者。</w:t>
            </w:r>
          </w:p>
          <w:p>
            <w:pPr>
              <w:shd w:val="clear" w:color="auto" w:fill="auto"/>
              <w:spacing w:line="200" w:lineRule="exact"/>
              <w:rPr>
                <w:rFonts w:hint="eastAsia" w:ascii="方正黑体_GBK" w:hAnsi="方正黑体_GBK" w:eastAsia="方正黑体_GBK" w:cs="方正黑体_GBK"/>
                <w:sz w:val="18"/>
                <w:lang w:val="en-US" w:eastAsia="zh-CN"/>
              </w:rPr>
            </w:pPr>
            <w:r>
              <w:rPr>
                <w:rFonts w:hint="eastAsia" w:ascii="方正黑体_GBK" w:hAnsi="方正黑体_GBK" w:eastAsia="方正黑体_GBK" w:cs="方正黑体_GBK"/>
                <w:sz w:val="18"/>
              </w:rPr>
              <w:t>A份额：A320</w:t>
            </w:r>
            <w:r>
              <w:rPr>
                <w:rFonts w:hint="eastAsia" w:ascii="方正黑体_GBK" w:hAnsi="方正黑体_GBK" w:eastAsia="方正黑体_GBK" w:cs="方正黑体_GBK"/>
                <w:sz w:val="18"/>
                <w:lang w:val="en-US" w:eastAsia="zh-CN"/>
              </w:rPr>
              <w:t>11</w:t>
            </w:r>
            <w:r>
              <w:rPr>
                <w:rFonts w:hint="eastAsia" w:ascii="方正黑体_GBK" w:hAnsi="方正黑体_GBK" w:eastAsia="方正黑体_GBK" w:cs="方正黑体_GBK"/>
                <w:sz w:val="18"/>
              </w:rPr>
              <w:t>-</w:t>
            </w:r>
            <w:r>
              <w:rPr>
                <w:rFonts w:hint="eastAsia" w:ascii="方正黑体_GBK" w:hAnsi="方正黑体_GBK" w:eastAsia="方正黑体_GBK" w:cs="方正黑体_GBK"/>
                <w:sz w:val="18"/>
                <w:lang w:eastAsia="zh-CN"/>
              </w:rPr>
              <w:t>以下代销机构客户：南京银行股份有限公司；</w:t>
            </w:r>
          </w:p>
          <w:p>
            <w:pPr>
              <w:shd w:val="clear" w:color="auto" w:fill="auto"/>
              <w:spacing w:line="200" w:lineRule="exact"/>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B份额：A3201</w:t>
            </w:r>
            <w:r>
              <w:rPr>
                <w:rFonts w:hint="eastAsia" w:ascii="方正黑体_GBK" w:hAnsi="方正黑体_GBK" w:eastAsia="方正黑体_GBK" w:cs="方正黑体_GBK"/>
                <w:sz w:val="18"/>
                <w:lang w:val="en-US" w:eastAsia="zh-CN"/>
              </w:rPr>
              <w:t>2</w:t>
            </w:r>
            <w:r>
              <w:rPr>
                <w:rFonts w:hint="eastAsia" w:ascii="方正黑体_GBK" w:hAnsi="方正黑体_GBK" w:eastAsia="方正黑体_GBK" w:cs="方正黑体_GBK"/>
                <w:sz w:val="18"/>
              </w:rPr>
              <w:t>-</w:t>
            </w:r>
            <w:r>
              <w:rPr>
                <w:rFonts w:hint="eastAsia" w:ascii="方正黑体_GBK" w:hAnsi="方正黑体_GBK" w:eastAsia="方正黑体_GBK" w:cs="方正黑体_GBK"/>
                <w:color w:val="auto"/>
                <w:kern w:val="0"/>
                <w:sz w:val="18"/>
                <w:szCs w:val="18"/>
                <w:highlight w:val="none"/>
                <w:lang w:val="en-US" w:eastAsia="zh-CN"/>
              </w:rPr>
              <w:t>南银理财直销客户</w:t>
            </w:r>
            <w:r>
              <w:rPr>
                <w:rFonts w:hint="eastAsia" w:ascii="方正黑体_GBK" w:hAnsi="方正黑体_GBK" w:eastAsia="方正黑体_GBK" w:cs="方正黑体_GBK"/>
                <w:sz w:val="18"/>
                <w:lang w:eastAsia="zh-CN"/>
              </w:rPr>
              <w:t>；</w:t>
            </w:r>
          </w:p>
          <w:p>
            <w:pPr>
              <w:shd w:val="clear" w:color="auto" w:fill="auto"/>
              <w:spacing w:line="200" w:lineRule="exact"/>
              <w:rPr>
                <w:rFonts w:hint="eastAsia" w:ascii="方正黑体_GBK" w:hAnsi="方正黑体_GBK" w:eastAsia="方正黑体_GBK" w:cs="方正黑体_GBK"/>
                <w:lang w:eastAsia="zh-CN"/>
              </w:rPr>
            </w:pPr>
            <w:r>
              <w:rPr>
                <w:rFonts w:hint="eastAsia" w:ascii="方正黑体_GBK" w:hAnsi="方正黑体_GBK" w:eastAsia="方正黑体_GBK" w:cs="方正黑体_GBK"/>
                <w:sz w:val="18"/>
                <w:lang w:val="en-US" w:eastAsia="zh-CN"/>
              </w:rPr>
              <w:t>C</w:t>
            </w:r>
            <w:r>
              <w:rPr>
                <w:rFonts w:hint="eastAsia" w:ascii="方正黑体_GBK" w:hAnsi="方正黑体_GBK" w:eastAsia="方正黑体_GBK" w:cs="方正黑体_GBK"/>
                <w:sz w:val="18"/>
              </w:rPr>
              <w:t>份额：A320</w:t>
            </w:r>
            <w:r>
              <w:rPr>
                <w:rFonts w:hint="eastAsia" w:ascii="方正黑体_GBK" w:hAnsi="方正黑体_GBK" w:eastAsia="方正黑体_GBK" w:cs="方正黑体_GBK"/>
                <w:sz w:val="18"/>
                <w:lang w:val="en-US" w:eastAsia="zh-CN"/>
              </w:rPr>
              <w:t>13</w:t>
            </w:r>
            <w:r>
              <w:rPr>
                <w:rFonts w:hint="eastAsia" w:ascii="方正黑体_GBK" w:hAnsi="方正黑体_GBK" w:eastAsia="方正黑体_GBK" w:cs="方正黑体_GBK"/>
                <w:sz w:val="18"/>
              </w:rPr>
              <w:t>-</w:t>
            </w:r>
            <w:r>
              <w:rPr>
                <w:rFonts w:hint="eastAsia" w:ascii="方正黑体_GBK" w:hAnsi="方正黑体_GBK" w:eastAsia="方正黑体_GBK" w:cs="方正黑体_GBK"/>
                <w:sz w:val="18"/>
                <w:szCs w:val="18"/>
                <w:lang w:val="en-US" w:eastAsia="zh-CN"/>
              </w:rPr>
              <w:t>以下代销机构</w:t>
            </w:r>
            <w:r>
              <w:rPr>
                <w:rFonts w:hint="eastAsia" w:ascii="方正黑体_GBK" w:hAnsi="方正黑体_GBK" w:eastAsia="方正黑体_GBK" w:cs="方正黑体_GBK"/>
                <w:sz w:val="18"/>
                <w:szCs w:val="18"/>
                <w:lang w:eastAsia="zh-CN"/>
              </w:rPr>
              <w:t>客户：浙江网商银行股份有限公司、齐鲁银行股份有限公司、天津农村商业银行股份有限公司。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投资起点金额、递增金额</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个人投资者起点金额1元人民币，以1元的整数倍递增；</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机构投资者起点金额1元人民币，以1元的整数倍递增；</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后续在符合监管政策规定的条件下，理财产品管理人有权对上述投资起点金额和递增金额进行调整,并在调整日前至少3个工作日进行信息披露。</w:t>
            </w:r>
          </w:p>
          <w:p>
            <w:pPr>
              <w:shd w:val="clear" w:color="auto" w:fill="auto"/>
              <w:spacing w:line="200" w:lineRule="exact"/>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代销机构可根据其销售需要对投资起点金额、递增金额进行重新设定，投资者通过代销机构购买本理财产品的，以该代销机构最终披露的投资起点金额、递增金额为准。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lang w:eastAsia="zh-CN"/>
              </w:rPr>
            </w:pPr>
            <w:r>
              <w:rPr>
                <w:rFonts w:hint="eastAsia" w:ascii="方正黑体_GBK" w:hAnsi="方正黑体_GBK" w:eastAsia="方正黑体_GBK" w:cs="方正黑体_GBK"/>
                <w:caps w:val="0"/>
                <w:smallCaps w:val="0"/>
                <w:snapToGrid/>
                <w:vanish w:val="0"/>
                <w:color w:val="auto"/>
                <w:kern w:val="0"/>
                <w:sz w:val="18"/>
                <w:szCs w:val="18"/>
                <w:vertAlign w:val="baseline"/>
              </w:rPr>
              <w:t>单个投资者持有金额上限</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个人投资者：最高持有金额</w:t>
            </w:r>
            <w:r>
              <w:rPr>
                <w:rFonts w:hint="eastAsia" w:ascii="方正黑体_GBK" w:hAnsi="方正黑体_GBK" w:eastAsia="方正黑体_GBK" w:cs="方正黑体_GBK"/>
                <w:sz w:val="18"/>
                <w:lang w:val="en-US" w:eastAsia="zh-CN"/>
              </w:rPr>
              <w:t>1亿</w:t>
            </w:r>
            <w:r>
              <w:rPr>
                <w:rFonts w:hint="eastAsia" w:ascii="方正黑体_GBK" w:hAnsi="方正黑体_GBK" w:eastAsia="方正黑体_GBK" w:cs="方正黑体_GBK"/>
                <w:sz w:val="18"/>
                <w:lang w:eastAsia="zh-CN"/>
              </w:rPr>
              <w:t>元</w:t>
            </w:r>
            <w:r>
              <w:rPr>
                <w:rFonts w:hint="eastAsia" w:ascii="方正黑体_GBK" w:hAnsi="方正黑体_GBK" w:eastAsia="方正黑体_GBK" w:cs="方正黑体_GBK"/>
                <w:sz w:val="18"/>
              </w:rPr>
              <w:t>；</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机构投资者：最高持有金额</w:t>
            </w:r>
            <w:r>
              <w:rPr>
                <w:rFonts w:hint="eastAsia" w:ascii="方正黑体_GBK" w:hAnsi="方正黑体_GBK" w:eastAsia="方正黑体_GBK" w:cs="方正黑体_GBK"/>
                <w:sz w:val="18"/>
                <w:lang w:val="en-US" w:eastAsia="zh-CN"/>
              </w:rPr>
              <w:t>1亿元</w:t>
            </w:r>
            <w:r>
              <w:rPr>
                <w:rFonts w:hint="eastAsia" w:ascii="方正黑体_GBK" w:hAnsi="方正黑体_GBK" w:eastAsia="方正黑体_GBK" w:cs="方正黑体_GBK"/>
                <w:sz w:val="18"/>
              </w:rPr>
              <w:t>；</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注：1.管理人有权对上述单个投资者持有金额上限进行调整或取消，并在调整或取消前至少3个工作日公告。</w:t>
            </w:r>
          </w:p>
          <w:p>
            <w:pPr>
              <w:shd w:val="clear" w:color="auto" w:fill="auto"/>
              <w:spacing w:line="200" w:lineRule="exact"/>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单一投资者持有比例上限</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本理财产品单一投资者持有的份额（含已确认和待确认的份额）不得超过本理财产品总份额的50%，管理人有权拒绝导致投资者持有份额突破前述50%比例限制的认申购申请。</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非因管理人主观因素导致突破上述50%比例限制的，在单一投资者持有比例降至50%以下之前，管理人不再接受该投资者对本理财产品的认申购申请。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auto"/>
                <w:kern w:val="0"/>
                <w:sz w:val="18"/>
                <w:szCs w:val="18"/>
                <w:highlight w:val="none"/>
                <w:lang w:val="en-US" w:eastAsia="zh-CN"/>
              </w:rPr>
              <w:t>单日单户赎回份额上限</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lang w:val="en-US" w:eastAsia="zh-CN"/>
              </w:rPr>
            </w:pPr>
            <w:r>
              <w:rPr>
                <w:rFonts w:hint="eastAsia" w:ascii="方正黑体_GBK" w:hAnsi="方正黑体_GBK" w:eastAsia="方正黑体_GBK" w:cs="方正黑体_GBK"/>
                <w:color w:val="auto"/>
                <w:kern w:val="0"/>
                <w:sz w:val="18"/>
                <w:szCs w:val="18"/>
                <w:highlight w:val="none"/>
                <w:lang w:val="en-US" w:eastAsia="zh-CN"/>
              </w:rPr>
              <w:t>单日单户赎回份额上限，是指单个投资者在最近一个产品开放日15：30（不含）至下一产品开放日15：30（含）之间发起的净赎回总份额上限。</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个人投资者单日单户赎回份额上限：</w:t>
            </w:r>
            <w:r>
              <w:rPr>
                <w:rFonts w:hint="eastAsia" w:ascii="方正黑体_GBK" w:hAnsi="方正黑体_GBK" w:eastAsia="方正黑体_GBK" w:cs="方正黑体_GBK"/>
                <w:color w:val="auto"/>
                <w:kern w:val="0"/>
                <w:sz w:val="18"/>
                <w:szCs w:val="18"/>
                <w:highlight w:val="none"/>
                <w:vertAlign w:val="baseline"/>
                <w:lang w:val="en-US" w:eastAsia="zh-CN"/>
              </w:rPr>
              <w:t>1亿</w:t>
            </w:r>
            <w:r>
              <w:rPr>
                <w:rFonts w:hint="eastAsia" w:ascii="方正黑体_GBK" w:hAnsi="方正黑体_GBK" w:eastAsia="方正黑体_GBK" w:cs="方正黑体_GBK"/>
                <w:color w:val="auto"/>
                <w:kern w:val="0"/>
                <w:sz w:val="18"/>
                <w:szCs w:val="18"/>
                <w:highlight w:val="none"/>
                <w:vertAlign w:val="baseline"/>
                <w:lang w:eastAsia="zh-CN"/>
              </w:rPr>
              <w:t>份；</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机构投资者单日单户赎回份额上限：</w:t>
            </w:r>
            <w:r>
              <w:rPr>
                <w:rFonts w:hint="eastAsia" w:ascii="方正黑体_GBK" w:hAnsi="方正黑体_GBK" w:eastAsia="方正黑体_GBK" w:cs="方正黑体_GBK"/>
                <w:color w:val="auto"/>
                <w:kern w:val="0"/>
                <w:sz w:val="18"/>
                <w:szCs w:val="18"/>
                <w:highlight w:val="none"/>
                <w:vertAlign w:val="baseline"/>
                <w:lang w:val="en-US" w:eastAsia="zh-CN"/>
              </w:rPr>
              <w:t>1亿</w:t>
            </w:r>
            <w:r>
              <w:rPr>
                <w:rFonts w:hint="eastAsia" w:ascii="方正黑体_GBK" w:hAnsi="方正黑体_GBK" w:eastAsia="方正黑体_GBK" w:cs="方正黑体_GBK"/>
                <w:color w:val="auto"/>
                <w:kern w:val="0"/>
                <w:sz w:val="18"/>
                <w:szCs w:val="18"/>
                <w:highlight w:val="none"/>
                <w:vertAlign w:val="baseline"/>
                <w:lang w:eastAsia="zh-CN"/>
              </w:rPr>
              <w:t>份；</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方正黑体_GBK" w:hAnsi="方正黑体_GBK" w:eastAsia="方正黑体_GBK" w:cs="方正黑体_GBK"/>
                <w:color w:val="auto"/>
                <w:kern w:val="0"/>
                <w:sz w:val="18"/>
                <w:szCs w:val="18"/>
                <w:highlight w:val="none"/>
                <w:vertAlign w:val="baseline"/>
                <w:lang w:eastAsia="zh-CN"/>
              </w:rPr>
            </w:pPr>
            <w:r>
              <w:rPr>
                <w:rFonts w:hint="eastAsia" w:ascii="方正黑体_GBK" w:hAnsi="方正黑体_GBK" w:eastAsia="方正黑体_GBK" w:cs="方正黑体_GBK"/>
                <w:color w:val="auto"/>
                <w:kern w:val="0"/>
                <w:sz w:val="18"/>
                <w:szCs w:val="18"/>
                <w:highlight w:val="none"/>
                <w:vertAlign w:val="baseline"/>
                <w:lang w:eastAsia="zh-CN"/>
              </w:rPr>
              <w:t>注：1.管理人有权对上述</w:t>
            </w:r>
            <w:r>
              <w:rPr>
                <w:rFonts w:hint="eastAsia" w:ascii="方正黑体_GBK" w:hAnsi="方正黑体_GBK" w:eastAsia="方正黑体_GBK" w:cs="方正黑体_GBK"/>
                <w:color w:val="auto"/>
                <w:kern w:val="0"/>
                <w:sz w:val="18"/>
                <w:szCs w:val="18"/>
                <w:highlight w:val="none"/>
                <w:lang w:val="en-US" w:eastAsia="zh-CN"/>
              </w:rPr>
              <w:t>单日单户赎回份额上限</w:t>
            </w:r>
            <w:r>
              <w:rPr>
                <w:rFonts w:hint="eastAsia" w:ascii="方正黑体_GBK" w:hAnsi="方正黑体_GBK" w:eastAsia="方正黑体_GBK" w:cs="方正黑体_GBK"/>
                <w:color w:val="auto"/>
                <w:kern w:val="0"/>
                <w:sz w:val="18"/>
                <w:szCs w:val="18"/>
                <w:highlight w:val="none"/>
                <w:vertAlign w:val="baseline"/>
                <w:lang w:eastAsia="zh-CN"/>
              </w:rPr>
              <w:t>进行调整或取消，并在调整或取消前至少3个工作日公告。</w:t>
            </w:r>
          </w:p>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color w:val="auto"/>
                <w:kern w:val="0"/>
                <w:sz w:val="18"/>
                <w:szCs w:val="18"/>
                <w:highlight w:val="none"/>
                <w:vertAlign w:val="baseline"/>
                <w:lang w:val="en-US" w:eastAsia="zh-CN"/>
              </w:rPr>
              <w:t>2.</w:t>
            </w:r>
            <w:r>
              <w:rPr>
                <w:rFonts w:hint="eastAsia" w:ascii="方正黑体_GBK" w:hAnsi="方正黑体_GBK" w:eastAsia="方正黑体_GBK" w:cs="方正黑体_GBK"/>
                <w:color w:val="auto"/>
                <w:kern w:val="0"/>
                <w:sz w:val="18"/>
                <w:szCs w:val="18"/>
                <w:highlight w:val="none"/>
                <w:vertAlign w:val="baseline"/>
                <w:lang w:eastAsia="zh-CN"/>
              </w:rPr>
              <w:t>当投资者发起的最近一笔赎回申请将导致投资者单日净赎回本理财产品的份额超过</w:t>
            </w:r>
            <w:r>
              <w:rPr>
                <w:rFonts w:hint="eastAsia" w:ascii="方正黑体_GBK" w:hAnsi="方正黑体_GBK" w:eastAsia="方正黑体_GBK" w:cs="方正黑体_GBK"/>
                <w:color w:val="auto"/>
                <w:kern w:val="0"/>
                <w:sz w:val="18"/>
                <w:szCs w:val="18"/>
                <w:highlight w:val="none"/>
                <w:lang w:val="en-US" w:eastAsia="zh-CN"/>
              </w:rPr>
              <w:t>单日单户赎回份额上限</w:t>
            </w:r>
            <w:r>
              <w:rPr>
                <w:rFonts w:hint="eastAsia" w:ascii="方正黑体_GBK" w:hAnsi="方正黑体_GBK" w:eastAsia="方正黑体_GBK" w:cs="方正黑体_GBK"/>
                <w:color w:val="auto"/>
                <w:kern w:val="0"/>
                <w:sz w:val="18"/>
                <w:szCs w:val="18"/>
                <w:highlight w:val="none"/>
                <w:vertAlign w:val="baseline"/>
                <w:lang w:eastAsia="zh-CN"/>
              </w:rPr>
              <w:t>时，销售机构或管理人有权在赎回时或确认时拒绝投资者该笔赎回申请，投资者需重新进行资金安排。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募集期</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hd w:val="clear" w:color="auto" w:fill="auto"/>
              <w:jc w:val="left"/>
              <w:rPr>
                <w:rFonts w:hint="eastAsia" w:ascii="方正黑体_GBK" w:hAnsi="方正黑体_GBK" w:eastAsia="方正黑体_GBK" w:cs="方正黑体_GBK"/>
                <w:sz w:val="18"/>
              </w:rPr>
            </w:pPr>
            <w:r>
              <w:rPr>
                <w:rFonts w:hint="eastAsia" w:ascii="方正黑体_GBK" w:hAnsi="方正黑体_GBK" w:eastAsia="方正黑体_GBK" w:cs="方正黑体_GBK"/>
                <w:sz w:val="18"/>
                <w:lang w:val="en-US" w:eastAsia="zh-CN"/>
              </w:rPr>
              <w:t>2023</w:t>
            </w:r>
            <w:r>
              <w:rPr>
                <w:rFonts w:hint="eastAsia" w:ascii="方正黑体_GBK" w:hAnsi="方正黑体_GBK" w:eastAsia="方正黑体_GBK" w:cs="方正黑体_GBK"/>
                <w:sz w:val="18"/>
              </w:rPr>
              <w:t>年</w:t>
            </w:r>
            <w:r>
              <w:rPr>
                <w:rFonts w:hint="eastAsia" w:ascii="方正黑体_GBK" w:hAnsi="方正黑体_GBK" w:eastAsia="方正黑体_GBK" w:cs="方正黑体_GBK"/>
                <w:sz w:val="18"/>
                <w:lang w:val="en-US" w:eastAsia="zh-CN"/>
              </w:rPr>
              <w:t>8</w:t>
            </w:r>
            <w:r>
              <w:rPr>
                <w:rFonts w:hint="eastAsia" w:ascii="方正黑体_GBK" w:hAnsi="方正黑体_GBK" w:eastAsia="方正黑体_GBK" w:cs="方正黑体_GBK"/>
                <w:sz w:val="18"/>
              </w:rPr>
              <w:t>月</w:t>
            </w:r>
            <w:r>
              <w:rPr>
                <w:rFonts w:hint="eastAsia" w:ascii="方正黑体_GBK" w:hAnsi="方正黑体_GBK" w:eastAsia="方正黑体_GBK" w:cs="方正黑体_GBK"/>
                <w:sz w:val="18"/>
                <w:lang w:val="en-US" w:eastAsia="zh-CN"/>
              </w:rPr>
              <w:t>15</w:t>
            </w:r>
            <w:r>
              <w:rPr>
                <w:rFonts w:hint="eastAsia" w:ascii="方正黑体_GBK" w:hAnsi="方正黑体_GBK" w:eastAsia="方正黑体_GBK" w:cs="方正黑体_GBK"/>
                <w:sz w:val="18"/>
              </w:rPr>
              <w:t>日</w:t>
            </w:r>
            <w:r>
              <w:rPr>
                <w:rFonts w:hint="eastAsia" w:ascii="方正黑体_GBK" w:hAnsi="方正黑体_GBK" w:eastAsia="方正黑体_GBK" w:cs="方正黑体_GBK"/>
                <w:sz w:val="18"/>
                <w:lang w:val="en-US" w:eastAsia="zh-CN"/>
              </w:rPr>
              <w:t>9：00</w:t>
            </w:r>
            <w:r>
              <w:rPr>
                <w:rFonts w:hint="eastAsia" w:ascii="方正黑体_GBK" w:hAnsi="方正黑体_GBK" w:eastAsia="方正黑体_GBK" w:cs="方正黑体_GBK"/>
                <w:sz w:val="18"/>
              </w:rPr>
              <w:t>—</w:t>
            </w:r>
            <w:r>
              <w:rPr>
                <w:rFonts w:hint="eastAsia" w:ascii="方正黑体_GBK" w:hAnsi="方正黑体_GBK" w:eastAsia="方正黑体_GBK" w:cs="方正黑体_GBK"/>
                <w:sz w:val="18"/>
                <w:lang w:val="en-US" w:eastAsia="zh-CN"/>
              </w:rPr>
              <w:t>2023</w:t>
            </w:r>
            <w:r>
              <w:rPr>
                <w:rFonts w:hint="eastAsia" w:ascii="方正黑体_GBK" w:hAnsi="方正黑体_GBK" w:eastAsia="方正黑体_GBK" w:cs="方正黑体_GBK"/>
                <w:sz w:val="18"/>
              </w:rPr>
              <w:t>年</w:t>
            </w:r>
            <w:r>
              <w:rPr>
                <w:rFonts w:hint="eastAsia" w:ascii="方正黑体_GBK" w:hAnsi="方正黑体_GBK" w:eastAsia="方正黑体_GBK" w:cs="方正黑体_GBK"/>
                <w:sz w:val="18"/>
                <w:lang w:val="en-US" w:eastAsia="zh-CN"/>
              </w:rPr>
              <w:t>8</w:t>
            </w:r>
            <w:r>
              <w:rPr>
                <w:rFonts w:hint="eastAsia" w:ascii="方正黑体_GBK" w:hAnsi="方正黑体_GBK" w:eastAsia="方正黑体_GBK" w:cs="方正黑体_GBK"/>
                <w:sz w:val="18"/>
              </w:rPr>
              <w:t>月</w:t>
            </w:r>
            <w:r>
              <w:rPr>
                <w:rFonts w:hint="eastAsia" w:ascii="方正黑体_GBK" w:hAnsi="方正黑体_GBK" w:eastAsia="方正黑体_GBK" w:cs="方正黑体_GBK"/>
                <w:sz w:val="18"/>
                <w:lang w:val="en-US" w:eastAsia="zh-CN"/>
              </w:rPr>
              <w:t>21</w:t>
            </w:r>
            <w:r>
              <w:rPr>
                <w:rFonts w:hint="eastAsia" w:ascii="方正黑体_GBK" w:hAnsi="方正黑体_GBK" w:eastAsia="方正黑体_GBK" w:cs="方正黑体_GBK"/>
                <w:sz w:val="18"/>
              </w:rPr>
              <w:t>日</w:t>
            </w:r>
            <w:r>
              <w:rPr>
                <w:rFonts w:hint="eastAsia" w:ascii="方正黑体_GBK" w:hAnsi="方正黑体_GBK" w:eastAsia="方正黑体_GBK" w:cs="方正黑体_GBK"/>
                <w:sz w:val="18"/>
                <w:lang w:val="en-US" w:eastAsia="zh-CN"/>
              </w:rPr>
              <w:t>15:30</w:t>
            </w:r>
            <w:r>
              <w:rPr>
                <w:rFonts w:hint="eastAsia" w:ascii="方正黑体_GBK" w:hAnsi="方正黑体_GBK" w:eastAsia="方正黑体_GBK" w:cs="方正黑体_GBK"/>
                <w:sz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认购份额计算</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认购份额=确认认购金额/1。（认购份额以去尾法保留两位小数）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认购确认日</w:t>
            </w:r>
          </w:p>
        </w:tc>
        <w:tc>
          <w:tcPr>
            <w:tcW w:w="8275" w:type="dxa"/>
            <w:tcBorders>
              <w:top w:val="single" w:color="auto" w:sz="4" w:space="0"/>
              <w:left w:val="nil"/>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同产品成立日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产品成立日</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napToGrid/>
                <w:color w:val="000000"/>
                <w:spacing w:val="0"/>
                <w:w w:val="100"/>
                <w:kern w:val="0"/>
                <w:position w:val="0"/>
                <w:sz w:val="18"/>
                <w:szCs w:val="18"/>
                <w:u w:val="none" w:color="auto"/>
                <w:shd w:val="clear" w:color="auto" w:fill="auto"/>
                <w:vertAlign w:val="baseline"/>
                <w:lang w:val="en-US" w:eastAsia="zh-CN" w:bidi="ar"/>
              </w:rPr>
              <w:t>2023年8月22日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产品存续期</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rPr>
                <w:rFonts w:hint="eastAsia" w:ascii="方正黑体_GBK" w:hAnsi="方正黑体_GBK" w:eastAsia="方正黑体_GBK" w:cs="方正黑体_GBK"/>
              </w:rPr>
            </w:pPr>
            <w:r>
              <w:rPr>
                <w:rFonts w:hint="eastAsia" w:ascii="方正黑体_GBK" w:hAnsi="方正黑体_GBK" w:eastAsia="方正黑体_GBK" w:cs="方正黑体_GBK"/>
                <w:snapToGrid/>
                <w:color w:val="000000"/>
                <w:spacing w:val="0"/>
                <w:w w:val="100"/>
                <w:kern w:val="0"/>
                <w:position w:val="0"/>
                <w:sz w:val="18"/>
                <w:szCs w:val="18"/>
                <w:u w:val="none" w:color="auto"/>
                <w:shd w:val="clear" w:color="auto" w:fill="auto"/>
                <w:vertAlign w:val="baseline"/>
                <w:lang w:val="en-US" w:eastAsia="zh-CN" w:bidi="ar"/>
              </w:rPr>
              <w:t>2023年8月22日</w:t>
            </w:r>
            <w:r>
              <w:rPr>
                <w:rFonts w:hint="eastAsia" w:ascii="方正黑体_GBK" w:hAnsi="方正黑体_GBK" w:eastAsia="方正黑体_GBK" w:cs="方正黑体_GBK"/>
                <w:sz w:val="18"/>
              </w:rPr>
              <w:t>—实际到期日（若本理财产品未被提前终止或延期终止，则实际到期日即为名义到期日，存续期限</w:t>
            </w:r>
            <w:r>
              <w:rPr>
                <w:rFonts w:hint="eastAsia" w:ascii="方正黑体_GBK" w:hAnsi="方正黑体_GBK" w:eastAsia="方正黑体_GBK" w:cs="方正黑体_GBK"/>
                <w:sz w:val="18"/>
                <w:lang w:val="en-US" w:eastAsia="zh-CN"/>
              </w:rPr>
              <w:t>10</w:t>
            </w:r>
            <w:r>
              <w:rPr>
                <w:rFonts w:hint="eastAsia" w:ascii="方正黑体_GBK" w:hAnsi="方正黑体_GBK" w:eastAsia="方正黑体_GBK" w:cs="方正黑体_GBK"/>
                <w:sz w:val="18"/>
              </w:rPr>
              <w:t>年；若本理财产品被提前终止或延期终止，则实际到期日为提前终止日或延期终止日。</w:t>
            </w:r>
            <w:r>
              <w:rPr>
                <w:rFonts w:hint="eastAsia" w:ascii="方正黑体_GBK" w:hAnsi="方正黑体_GBK" w:eastAsia="方正黑体_GBK" w:cs="方正黑体_GBK"/>
                <w:b/>
                <w:sz w:val="18"/>
              </w:rPr>
              <w:t>理财产品管理人有权根据市场变化情况调整产品存续期，届时管理人将调整相关日期并进行信息披露。）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名义到期日</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snapToGrid/>
                <w:color w:val="000000"/>
                <w:spacing w:val="0"/>
                <w:w w:val="100"/>
                <w:kern w:val="0"/>
                <w:position w:val="0"/>
                <w:sz w:val="18"/>
                <w:szCs w:val="18"/>
                <w:u w:val="none" w:color="auto"/>
                <w:shd w:val="clear" w:color="auto" w:fill="auto"/>
                <w:vertAlign w:val="baseline"/>
                <w:lang w:val="en-US" w:eastAsia="zh-CN" w:bidi="ar"/>
              </w:rPr>
              <w:t>2033年8月31日</w:t>
            </w:r>
            <w:r>
              <w:rPr>
                <w:rFonts w:hint="eastAsia" w:ascii="方正黑体_GBK" w:hAnsi="方正黑体_GBK" w:eastAsia="方正黑体_GBK" w:cs="方正黑体_GBK"/>
                <w:b/>
                <w:bCs/>
                <w:caps w:val="0"/>
                <w:smallCaps w:val="0"/>
                <w:snapToGrid/>
                <w:vanish w:val="0"/>
                <w:color w:val="auto"/>
                <w:kern w:val="0"/>
                <w:sz w:val="18"/>
                <w:szCs w:val="18"/>
                <w:vertAlign w:val="baseline"/>
              </w:rPr>
              <w:t>（如遇国家法定节假日，管理人可结合国家法定节假日安排进行调整，并进行信息披露）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lang w:eastAsia="zh-CN"/>
              </w:rPr>
            </w:pPr>
            <w:r>
              <w:rPr>
                <w:rFonts w:hint="eastAsia" w:ascii="方正黑体_GBK" w:hAnsi="方正黑体_GBK" w:eastAsia="方正黑体_GBK" w:cs="方正黑体_GBK"/>
                <w:b/>
                <w:bCs/>
                <w:color w:val="auto"/>
                <w:kern w:val="0"/>
                <w:sz w:val="18"/>
                <w:szCs w:val="18"/>
                <w:highlight w:val="none"/>
              </w:rPr>
              <w:t>产品封闭期</w:t>
            </w:r>
          </w:p>
        </w:tc>
        <w:tc>
          <w:tcPr>
            <w:tcW w:w="8275" w:type="dxa"/>
            <w:tcBorders>
              <w:top w:val="single" w:color="auto" w:sz="4" w:space="0"/>
              <w:left w:val="nil"/>
              <w:bottom w:val="single" w:color="auto" w:sz="4" w:space="0"/>
              <w:right w:val="single" w:color="auto" w:sz="4" w:space="0"/>
              <w:tl2br w:val="nil"/>
              <w:tr2bl w:val="nil"/>
            </w:tcBorders>
            <w:vAlign w:val="center"/>
          </w:tcPr>
          <w:p>
            <w:pPr>
              <w:widowControl/>
              <w:spacing w:line="24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本理财产品募集成立后封闭运作</w:t>
            </w:r>
            <w:r>
              <w:rPr>
                <w:rFonts w:hint="eastAsia" w:ascii="方正黑体_GBK" w:hAnsi="方正黑体_GBK" w:eastAsia="方正黑体_GBK" w:cs="方正黑体_GBK"/>
                <w:b/>
                <w:bCs/>
                <w:color w:val="auto"/>
                <w:kern w:val="0"/>
                <w:sz w:val="18"/>
                <w:szCs w:val="18"/>
                <w:highlight w:val="none"/>
                <w:lang w:val="en-US" w:eastAsia="zh-CN"/>
              </w:rPr>
              <w:t>7</w:t>
            </w:r>
            <w:r>
              <w:rPr>
                <w:rFonts w:hint="eastAsia" w:ascii="方正黑体_GBK" w:hAnsi="方正黑体_GBK" w:eastAsia="方正黑体_GBK" w:cs="方正黑体_GBK"/>
                <w:b/>
                <w:bCs/>
                <w:color w:val="auto"/>
                <w:kern w:val="0"/>
                <w:sz w:val="18"/>
                <w:szCs w:val="18"/>
                <w:highlight w:val="none"/>
              </w:rPr>
              <w:t>天（</w:t>
            </w:r>
            <w:r>
              <w:rPr>
                <w:rFonts w:hint="eastAsia" w:ascii="方正黑体_GBK" w:hAnsi="方正黑体_GBK" w:eastAsia="方正黑体_GBK" w:cs="方正黑体_GBK"/>
                <w:b/>
                <w:bCs/>
                <w:snapToGrid/>
                <w:color w:val="000000"/>
                <w:spacing w:val="0"/>
                <w:w w:val="100"/>
                <w:kern w:val="0"/>
                <w:position w:val="0"/>
                <w:sz w:val="18"/>
                <w:szCs w:val="18"/>
                <w:u w:val="none" w:color="auto"/>
                <w:shd w:val="clear" w:color="auto" w:fill="auto"/>
                <w:vertAlign w:val="baseline"/>
                <w:lang w:val="en-US" w:eastAsia="zh-CN" w:bidi="ar"/>
              </w:rPr>
              <w:t>2023年8月22日</w:t>
            </w:r>
            <w:r>
              <w:rPr>
                <w:rFonts w:hint="eastAsia" w:ascii="方正黑体_GBK" w:hAnsi="方正黑体_GBK" w:eastAsia="方正黑体_GBK" w:cs="方正黑体_GBK"/>
                <w:b/>
                <w:bCs/>
                <w:color w:val="auto"/>
                <w:kern w:val="0"/>
                <w:sz w:val="18"/>
                <w:szCs w:val="18"/>
                <w:highlight w:val="none"/>
              </w:rPr>
              <w:t>-</w:t>
            </w:r>
            <w:r>
              <w:rPr>
                <w:rFonts w:hint="eastAsia" w:ascii="方正黑体_GBK" w:hAnsi="方正黑体_GBK" w:eastAsia="方正黑体_GBK" w:cs="方正黑体_GBK"/>
                <w:b/>
                <w:bCs/>
                <w:snapToGrid/>
                <w:color w:val="000000"/>
                <w:spacing w:val="0"/>
                <w:w w:val="100"/>
                <w:kern w:val="0"/>
                <w:position w:val="0"/>
                <w:sz w:val="18"/>
                <w:szCs w:val="18"/>
                <w:u w:val="none" w:color="auto"/>
                <w:shd w:val="clear" w:color="auto" w:fill="auto"/>
                <w:vertAlign w:val="baseline"/>
                <w:lang w:val="en-US" w:eastAsia="zh-CN" w:bidi="ar"/>
              </w:rPr>
              <w:t>2023年8月28日</w:t>
            </w:r>
            <w:r>
              <w:rPr>
                <w:rFonts w:hint="eastAsia" w:ascii="方正黑体_GBK" w:hAnsi="方正黑体_GBK" w:eastAsia="方正黑体_GBK" w:cs="方正黑体_GBK"/>
                <w:b/>
                <w:bCs/>
                <w:color w:val="auto"/>
                <w:kern w:val="0"/>
                <w:sz w:val="18"/>
                <w:szCs w:val="18"/>
                <w:highlight w:val="none"/>
              </w:rPr>
              <w:t>），封闭期内不接受任何申购/赎回申请。</w:t>
            </w:r>
          </w:p>
          <w:p>
            <w:pPr>
              <w:widowControl/>
              <w:spacing w:line="240" w:lineRule="exact"/>
              <w:ind w:left="0" w:leftChars="0" w:right="0" w:rightChars="0" w:firstLine="0" w:firstLineChars="0"/>
              <w:jc w:val="left"/>
              <w:rPr>
                <w:rFonts w:hint="eastAsia" w:ascii="方正黑体_GBK" w:hAnsi="方正黑体_GBK" w:eastAsia="方正黑体_GBK" w:cs="方正黑体_GBK"/>
                <w:snapToGrid/>
                <w:color w:val="000000"/>
                <w:spacing w:val="0"/>
                <w:w w:val="100"/>
                <w:kern w:val="0"/>
                <w:position w:val="0"/>
                <w:sz w:val="18"/>
                <w:szCs w:val="18"/>
                <w:u w:val="none" w:color="auto"/>
                <w:shd w:val="clear" w:color="auto" w:fill="auto"/>
                <w:vertAlign w:val="baseline"/>
                <w:lang w:val="en-US" w:eastAsia="zh-CN" w:bidi="ar"/>
              </w:rPr>
            </w:pPr>
            <w:r>
              <w:rPr>
                <w:rFonts w:hint="eastAsia" w:ascii="方正黑体_GBK" w:hAnsi="方正黑体_GBK" w:eastAsia="方正黑体_GBK" w:cs="方正黑体_GBK"/>
                <w:b/>
                <w:bCs/>
                <w:color w:val="auto"/>
                <w:kern w:val="0"/>
                <w:sz w:val="18"/>
                <w:szCs w:val="18"/>
                <w:highlight w:val="none"/>
              </w:rPr>
              <w:t>注：产品成立后因开户等原因可能会导致短期内无法进行部分资产的投资运作，为减轻因此对投资者收益的影响，故设置封闭期。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产品开放日</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sz w:val="18"/>
              </w:rPr>
              <w:t>产品存续期内每周一至周五（指工作日），但不包括国家法定节假日、休息日和南银理财公告暂停开放的日期。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申购规则</w:t>
            </w:r>
          </w:p>
        </w:tc>
        <w:tc>
          <w:tcPr>
            <w:tcW w:w="8275"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产品开放日15:30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前的申购于当日受理，其他时间的申购于下一产品开放日受理。</w:t>
            </w:r>
            <w:r>
              <w:rPr>
                <w:rFonts w:hint="eastAsia" w:ascii="方正黑体_GBK" w:hAnsi="方正黑体_GBK" w:eastAsia="方正黑体_GBK" w:cs="方正黑体_GBK"/>
                <w:sz w:val="18"/>
              </w:rPr>
              <w:t>上述申购规则如下（系统批处理时间内无法操作）：</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2665"/>
              <w:gridCol w:w="1881"/>
              <w:gridCol w:w="22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2665"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申购时间</w:t>
                  </w:r>
                </w:p>
              </w:tc>
              <w:tc>
                <w:tcPr>
                  <w:tcW w:w="1881"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w:t>
                  </w:r>
                </w:p>
              </w:tc>
              <w:tc>
                <w:tcPr>
                  <w:tcW w:w="2273"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份额运作起始日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2665" w:type="dxa"/>
                  <w:vAlign w:val="top"/>
                </w:tcPr>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sz w:val="18"/>
                    </w:rPr>
                    <w:t>产品开放日：0:00-15:30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含</w:t>
                  </w:r>
                  <w:r>
                    <w:rPr>
                      <w:rFonts w:hint="eastAsia" w:ascii="方正黑体_GBK" w:hAnsi="方正黑体_GBK" w:eastAsia="方正黑体_GBK" w:cs="方正黑体_GBK"/>
                      <w:sz w:val="18"/>
                      <w:lang w:eastAsia="zh-CN"/>
                    </w:rPr>
                    <w:t>）</w:t>
                  </w:r>
                </w:p>
              </w:tc>
              <w:tc>
                <w:tcPr>
                  <w:tcW w:w="1881"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当日</w:t>
                  </w:r>
                </w:p>
              </w:tc>
              <w:tc>
                <w:tcPr>
                  <w:tcW w:w="2273"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申购受理日下一产品开放日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2665"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产品开放日：15:30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不含</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-24:00或非产品开放日</w:t>
                  </w:r>
                </w:p>
              </w:tc>
              <w:tc>
                <w:tcPr>
                  <w:tcW w:w="1881"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下一产品开放日</w:t>
                  </w:r>
                </w:p>
              </w:tc>
              <w:tc>
                <w:tcPr>
                  <w:tcW w:w="2273"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申购受理日下一产品开放日</w:t>
                  </w:r>
                </w:p>
              </w:tc>
            </w:tr>
          </w:tbl>
          <w:p>
            <w:pPr>
              <w:spacing w:line="200" w:lineRule="exact"/>
              <w:rPr>
                <w:rFonts w:hint="eastAsia" w:ascii="方正黑体_GBK" w:hAnsi="方正黑体_GBK" w:eastAsia="方正黑体_GBK" w:cs="方正黑体_GBK"/>
              </w:rPr>
            </w:pP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注</w:t>
            </w:r>
            <w:r>
              <w:rPr>
                <w:rFonts w:hint="eastAsia" w:ascii="方正黑体_GBK" w:hAnsi="方正黑体_GBK" w:eastAsia="方正黑体_GBK" w:cs="方正黑体_GBK"/>
                <w:sz w:val="18"/>
              </w:rPr>
              <w:t>：</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color w:val="000000"/>
                <w:sz w:val="18"/>
                <w:shd w:val="clear" w:fill="F6F6F6"/>
              </w:rPr>
              <w:t>1.</w:t>
            </w:r>
            <w:r>
              <w:rPr>
                <w:rFonts w:hint="eastAsia" w:ascii="方正黑体_GBK" w:hAnsi="方正黑体_GBK" w:eastAsia="方正黑体_GBK" w:cs="方正黑体_GBK"/>
                <w:b/>
                <w:sz w:val="18"/>
              </w:rPr>
              <w:t>申购受理日15:30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前可以撤销申购申请。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2.产品开放日为产品存续期内每周一至周五（指工作日），但不包括国家法定节假日、休息日和南银理财公告暂停开放的日期。</w:t>
            </w:r>
            <w:r>
              <w:rPr>
                <w:rFonts w:hint="eastAsia" w:ascii="方正黑体_GBK" w:hAnsi="方正黑体_GBK" w:eastAsia="方正黑体_GBK" w:cs="方正黑体_GBK"/>
                <w:b/>
                <w:sz w:val="18"/>
              </w:rPr>
              <w:t>系统批处理时间无法进行任何操作，届时系统将相应提示，系统批处理时间预计在0：00至3：00之间，如遇特殊情况延迟，敬请投资者注意。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leftChars="0" w:right="0" w:rightChars="0" w:firstLine="0" w:firstLineChars="0"/>
              <w:contextualSpacing w:val="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aps w:val="0"/>
                <w:smallCaps w:val="0"/>
                <w:snapToGrid/>
                <w:vanish w:val="0"/>
                <w:color w:val="auto"/>
                <w:kern w:val="0"/>
                <w:sz w:val="18"/>
                <w:szCs w:val="18"/>
                <w:vertAlign w:val="baseline"/>
              </w:rPr>
              <w:t>申购份额计算</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申购份额=申购金额/申购确认日产品单位净值（申购确认日为申购受理日当日）（申购份额按去尾法保留两位小数）。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000000"/>
                <w:kern w:val="0"/>
                <w:sz w:val="18"/>
                <w:szCs w:val="18"/>
              </w:rPr>
              <w:t>份额最低持有期</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lang w:val="en-US" w:eastAsia="zh-CN"/>
              </w:rPr>
              <w:t>7</w:t>
            </w:r>
            <w:r>
              <w:rPr>
                <w:rFonts w:hint="eastAsia" w:ascii="方正黑体_GBK" w:hAnsi="方正黑体_GBK" w:eastAsia="方正黑体_GBK" w:cs="方正黑体_GBK"/>
                <w:sz w:val="18"/>
              </w:rPr>
              <w:t>天</w:t>
            </w:r>
          </w:p>
          <w:p>
            <w:pPr>
              <w:keepNext w:val="0"/>
              <w:keepLines w:val="0"/>
              <w:widowControl/>
              <w:suppressLineNumbers w:val="0"/>
              <w:jc w:val="left"/>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（认购份额从成立日起最低持有期为</w:t>
            </w:r>
            <w:r>
              <w:rPr>
                <w:rFonts w:hint="eastAsia" w:ascii="方正黑体_GBK" w:hAnsi="方正黑体_GBK" w:eastAsia="方正黑体_GBK" w:cs="方正黑体_GBK"/>
                <w:sz w:val="18"/>
                <w:lang w:val="en-US" w:eastAsia="zh-CN"/>
              </w:rPr>
              <w:t>7</w:t>
            </w:r>
            <w:r>
              <w:rPr>
                <w:rFonts w:hint="eastAsia" w:ascii="方正黑体_GBK" w:hAnsi="方正黑体_GBK" w:eastAsia="方正黑体_GBK" w:cs="方正黑体_GBK"/>
                <w:sz w:val="18"/>
              </w:rPr>
              <w:t>天，</w:t>
            </w:r>
            <w:r>
              <w:rPr>
                <w:rFonts w:hint="eastAsia" w:ascii="方正黑体_GBK" w:hAnsi="方正黑体_GBK" w:eastAsia="方正黑体_GBK" w:cs="方正黑体_GBK"/>
                <w:snapToGrid/>
                <w:color w:val="000000"/>
                <w:spacing w:val="0"/>
                <w:w w:val="100"/>
                <w:kern w:val="0"/>
                <w:position w:val="0"/>
                <w:sz w:val="18"/>
                <w:szCs w:val="18"/>
                <w:u w:val="none" w:color="auto"/>
                <w:shd w:val="clear" w:color="auto" w:fill="auto"/>
                <w:vertAlign w:val="baseline"/>
                <w:lang w:val="en-US" w:eastAsia="zh-CN" w:bidi="ar"/>
              </w:rPr>
              <w:t>2023年8月28日</w:t>
            </w:r>
            <w:r>
              <w:rPr>
                <w:rFonts w:hint="eastAsia" w:ascii="方正黑体_GBK" w:hAnsi="方正黑体_GBK" w:eastAsia="方正黑体_GBK" w:cs="方正黑体_GBK"/>
                <w:sz w:val="18"/>
              </w:rPr>
              <w:t>及之前不可提出赎回申请；申购份额从份额运作起始日起最低持有期为</w:t>
            </w:r>
            <w:r>
              <w:rPr>
                <w:rFonts w:hint="eastAsia" w:ascii="方正黑体_GBK" w:hAnsi="方正黑体_GBK" w:eastAsia="方正黑体_GBK" w:cs="方正黑体_GBK"/>
                <w:sz w:val="18"/>
                <w:lang w:val="en-US" w:eastAsia="zh-CN"/>
              </w:rPr>
              <w:t>7</w:t>
            </w:r>
            <w:r>
              <w:rPr>
                <w:rFonts w:hint="eastAsia" w:ascii="方正黑体_GBK" w:hAnsi="方正黑体_GBK" w:eastAsia="方正黑体_GBK" w:cs="方正黑体_GBK"/>
                <w:sz w:val="18"/>
              </w:rPr>
              <w:t>天，</w:t>
            </w:r>
            <w:r>
              <w:rPr>
                <w:rFonts w:hint="eastAsia" w:ascii="方正黑体_GBK" w:hAnsi="方正黑体_GBK" w:eastAsia="方正黑体_GBK" w:cs="方正黑体_GBK"/>
                <w:sz w:val="18"/>
                <w:lang w:val="en-US" w:eastAsia="zh-CN"/>
              </w:rPr>
              <w:t>7</w:t>
            </w:r>
            <w:r>
              <w:rPr>
                <w:rFonts w:hint="eastAsia" w:ascii="方正黑体_GBK" w:hAnsi="方正黑体_GBK" w:eastAsia="方正黑体_GBK" w:cs="方正黑体_GBK"/>
                <w:sz w:val="18"/>
              </w:rPr>
              <w:t>天以内不可提出赎回申请。）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赎回规则</w:t>
            </w:r>
          </w:p>
        </w:tc>
        <w:tc>
          <w:tcPr>
            <w:tcW w:w="8275"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持有期</w:t>
            </w:r>
            <w:r>
              <w:rPr>
                <w:rFonts w:hint="eastAsia" w:ascii="方正黑体_GBK" w:hAnsi="方正黑体_GBK" w:eastAsia="方正黑体_GBK" w:cs="方正黑体_GBK"/>
                <w:b/>
                <w:sz w:val="18"/>
                <w:lang w:val="en-US" w:eastAsia="zh-CN"/>
              </w:rPr>
              <w:t>7</w:t>
            </w:r>
            <w:r>
              <w:rPr>
                <w:rFonts w:hint="eastAsia" w:ascii="方正黑体_GBK" w:hAnsi="方正黑体_GBK" w:eastAsia="方正黑体_GBK" w:cs="方正黑体_GBK"/>
                <w:b/>
                <w:sz w:val="18"/>
              </w:rPr>
              <w:t>天以内的份额不可提出赎回申请。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持有满</w:t>
            </w:r>
            <w:r>
              <w:rPr>
                <w:rFonts w:hint="eastAsia" w:ascii="方正黑体_GBK" w:hAnsi="方正黑体_GBK" w:eastAsia="方正黑体_GBK" w:cs="方正黑体_GBK"/>
                <w:b/>
                <w:sz w:val="18"/>
                <w:lang w:val="en-US" w:eastAsia="zh-CN"/>
              </w:rPr>
              <w:t>7</w:t>
            </w:r>
            <w:r>
              <w:rPr>
                <w:rFonts w:hint="eastAsia" w:ascii="方正黑体_GBK" w:hAnsi="方正黑体_GBK" w:eastAsia="方正黑体_GBK" w:cs="方正黑体_GBK"/>
                <w:b/>
                <w:sz w:val="18"/>
              </w:rPr>
              <w:t>天及以上的份额可在之后的每个产品开放日提出赎回申请，非巨额赎回时，产品开放日15:30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前的赎回于当日受理，其他时间的赎回于下一产品开放日受理，赎回款项将于份额运作终止日后5个工作日内到账</w:t>
            </w:r>
            <w:r>
              <w:rPr>
                <w:rFonts w:hint="eastAsia" w:ascii="方正黑体_GBK" w:hAnsi="方正黑体_GBK" w:eastAsia="方正黑体_GBK" w:cs="方正黑体_GBK"/>
                <w:sz w:val="18"/>
              </w:rPr>
              <w:t>。上述赎回规则如下（系统批处理时间内无法操作）：</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720"/>
              <w:gridCol w:w="1386"/>
              <w:gridCol w:w="2419"/>
              <w:gridCol w:w="13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3" w:hRule="atLeast"/>
              </w:trPr>
              <w:tc>
                <w:tcPr>
                  <w:tcW w:w="1720"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赎回时间</w:t>
                  </w:r>
                </w:p>
              </w:tc>
              <w:tc>
                <w:tcPr>
                  <w:tcW w:w="1386"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w:t>
                  </w:r>
                </w:p>
              </w:tc>
              <w:tc>
                <w:tcPr>
                  <w:tcW w:w="2419"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份额运作终止日</w:t>
                  </w:r>
                </w:p>
              </w:tc>
              <w:tc>
                <w:tcPr>
                  <w:tcW w:w="1354"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资金到账日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1720" w:type="dxa"/>
                  <w:vAlign w:val="top"/>
                </w:tcPr>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sz w:val="18"/>
                    </w:rPr>
                    <w:t>份额持有满</w:t>
                  </w:r>
                  <w:r>
                    <w:rPr>
                      <w:rFonts w:hint="eastAsia" w:ascii="方正黑体_GBK" w:hAnsi="方正黑体_GBK" w:eastAsia="方正黑体_GBK" w:cs="方正黑体_GBK"/>
                      <w:sz w:val="18"/>
                      <w:lang w:val="en-US" w:eastAsia="zh-CN"/>
                    </w:rPr>
                    <w:t>7</w:t>
                  </w:r>
                  <w:r>
                    <w:rPr>
                      <w:rFonts w:hint="eastAsia" w:ascii="方正黑体_GBK" w:hAnsi="方正黑体_GBK" w:eastAsia="方正黑体_GBK" w:cs="方正黑体_GBK"/>
                      <w:sz w:val="18"/>
                    </w:rPr>
                    <w:t>天后的产品开放日：0:00-15:30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含</w:t>
                  </w:r>
                  <w:r>
                    <w:rPr>
                      <w:rFonts w:hint="eastAsia" w:ascii="方正黑体_GBK" w:hAnsi="方正黑体_GBK" w:eastAsia="方正黑体_GBK" w:cs="方正黑体_GBK"/>
                      <w:sz w:val="18"/>
                      <w:lang w:eastAsia="zh-CN"/>
                    </w:rPr>
                    <w:t>）</w:t>
                  </w:r>
                </w:p>
              </w:tc>
              <w:tc>
                <w:tcPr>
                  <w:tcW w:w="1386"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当日</w:t>
                  </w:r>
                </w:p>
              </w:tc>
              <w:tc>
                <w:tcPr>
                  <w:tcW w:w="2419"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赎回受理日下一产品开放日</w:t>
                  </w:r>
                </w:p>
              </w:tc>
              <w:tc>
                <w:tcPr>
                  <w:tcW w:w="1354" w:type="dxa"/>
                  <w:vMerge w:val="restart"/>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18"/>
                    </w:rPr>
                    <w:t>份额运作终止日后5个工作日内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3" w:hRule="atLeast"/>
              </w:trPr>
              <w:tc>
                <w:tcPr>
                  <w:tcW w:w="1720"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份额持有满</w:t>
                  </w:r>
                  <w:r>
                    <w:rPr>
                      <w:rFonts w:hint="eastAsia" w:ascii="方正黑体_GBK" w:hAnsi="方正黑体_GBK" w:eastAsia="方正黑体_GBK" w:cs="方正黑体_GBK"/>
                      <w:sz w:val="18"/>
                      <w:lang w:val="en-US" w:eastAsia="zh-CN"/>
                    </w:rPr>
                    <w:t>7</w:t>
                  </w:r>
                  <w:r>
                    <w:rPr>
                      <w:rFonts w:hint="eastAsia" w:ascii="方正黑体_GBK" w:hAnsi="方正黑体_GBK" w:eastAsia="方正黑体_GBK" w:cs="方正黑体_GBK"/>
                      <w:sz w:val="18"/>
                    </w:rPr>
                    <w:t>天后的产品开放日：15:30</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lang w:val="en-US" w:eastAsia="zh-CN"/>
                    </w:rPr>
                    <w:t>不含</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-24:00或非产品开放日</w:t>
                  </w:r>
                </w:p>
              </w:tc>
              <w:tc>
                <w:tcPr>
                  <w:tcW w:w="1386"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下一产品开放日</w:t>
                  </w:r>
                </w:p>
              </w:tc>
              <w:tc>
                <w:tcPr>
                  <w:tcW w:w="2419" w:type="dxa"/>
                  <w:vAlign w:val="top"/>
                </w:tcPr>
                <w:p>
                  <w:pPr>
                    <w:rPr>
                      <w:rFonts w:hint="eastAsia" w:ascii="方正黑体_GBK" w:hAnsi="方正黑体_GBK" w:eastAsia="方正黑体_GBK" w:cs="方正黑体_GBK"/>
                    </w:rPr>
                  </w:pPr>
                  <w:r>
                    <w:rPr>
                      <w:rFonts w:hint="eastAsia" w:ascii="方正黑体_GBK" w:hAnsi="方正黑体_GBK" w:eastAsia="方正黑体_GBK" w:cs="方正黑体_GBK"/>
                      <w:sz w:val="18"/>
                    </w:rPr>
                    <w:t>赎回受理日下一产品开放日</w:t>
                  </w:r>
                </w:p>
              </w:tc>
              <w:tc>
                <w:tcPr>
                  <w:tcW w:w="1354" w:type="dxa"/>
                  <w:vMerge w:val="continue"/>
                  <w:vAlign w:val="top"/>
                </w:tcPr>
                <w:p>
                  <w:pPr>
                    <w:rPr>
                      <w:rFonts w:hint="eastAsia" w:ascii="方正黑体_GBK" w:hAnsi="方正黑体_GBK" w:eastAsia="方正黑体_GBK" w:cs="方正黑体_GBK"/>
                    </w:rPr>
                  </w:pPr>
                </w:p>
              </w:tc>
            </w:tr>
          </w:tbl>
          <w:p>
            <w:pPr>
              <w:spacing w:line="200" w:lineRule="exact"/>
              <w:jc w:val="left"/>
              <w:rPr>
                <w:rFonts w:hint="eastAsia" w:ascii="方正黑体_GBK" w:hAnsi="方正黑体_GBK" w:eastAsia="方正黑体_GBK" w:cs="方正黑体_GBK"/>
                <w:b/>
                <w:sz w:val="18"/>
              </w:rPr>
            </w:pP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注：</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1.</w:t>
            </w:r>
            <w:r>
              <w:rPr>
                <w:rFonts w:hint="eastAsia" w:ascii="方正黑体_GBK" w:hAnsi="方正黑体_GBK" w:eastAsia="方正黑体_GBK" w:cs="方正黑体_GBK"/>
                <w:b/>
                <w:sz w:val="18"/>
              </w:rPr>
              <w:t>如投资者多次认申购本理财产品，其中持有满</w:t>
            </w:r>
            <w:r>
              <w:rPr>
                <w:rFonts w:hint="eastAsia" w:ascii="方正黑体_GBK" w:hAnsi="方正黑体_GBK" w:eastAsia="方正黑体_GBK" w:cs="方正黑体_GBK"/>
                <w:b/>
                <w:sz w:val="18"/>
                <w:lang w:val="en-US" w:eastAsia="zh-CN"/>
              </w:rPr>
              <w:t>7</w:t>
            </w:r>
            <w:r>
              <w:rPr>
                <w:rFonts w:hint="eastAsia" w:ascii="方正黑体_GBK" w:hAnsi="方正黑体_GBK" w:eastAsia="方正黑体_GBK" w:cs="方正黑体_GBK"/>
                <w:b/>
                <w:sz w:val="18"/>
              </w:rPr>
              <w:t>天及以上的份额可提出赎回申请，持有期</w:t>
            </w:r>
            <w:r>
              <w:rPr>
                <w:rFonts w:hint="eastAsia" w:ascii="方正黑体_GBK" w:hAnsi="方正黑体_GBK" w:eastAsia="方正黑体_GBK" w:cs="方正黑体_GBK"/>
                <w:b/>
                <w:sz w:val="18"/>
                <w:lang w:val="en-US" w:eastAsia="zh-CN"/>
              </w:rPr>
              <w:t>7</w:t>
            </w:r>
            <w:r>
              <w:rPr>
                <w:rFonts w:hint="eastAsia" w:ascii="方正黑体_GBK" w:hAnsi="方正黑体_GBK" w:eastAsia="方正黑体_GBK" w:cs="方正黑体_GBK"/>
                <w:b/>
                <w:sz w:val="18"/>
              </w:rPr>
              <w:t>天以内的份额不可提出赎回申请。</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000000"/>
                <w:sz w:val="18"/>
              </w:rPr>
              <w:t>2.</w:t>
            </w:r>
            <w:r>
              <w:rPr>
                <w:rFonts w:hint="eastAsia" w:ascii="方正黑体_GBK" w:hAnsi="方正黑体_GBK" w:eastAsia="方正黑体_GBK" w:cs="方正黑体_GBK"/>
                <w:b/>
                <w:sz w:val="18"/>
              </w:rPr>
              <w:t>单个投资者的赎回遵循“先进先出”原则，即单个投资者先认/申购的份额先被赎回。</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3.赎回受理日15:30</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lang w:val="en-US" w:eastAsia="zh-CN"/>
              </w:rPr>
              <w:t>含</w:t>
            </w:r>
            <w:r>
              <w:rPr>
                <w:rFonts w:hint="eastAsia" w:ascii="方正黑体_GBK" w:hAnsi="方正黑体_GBK" w:eastAsia="方正黑体_GBK" w:cs="方正黑体_GBK"/>
                <w:b/>
                <w:sz w:val="18"/>
                <w:lang w:eastAsia="zh-CN"/>
              </w:rPr>
              <w:t>）</w:t>
            </w:r>
            <w:r>
              <w:rPr>
                <w:rFonts w:hint="eastAsia" w:ascii="方正黑体_GBK" w:hAnsi="方正黑体_GBK" w:eastAsia="方正黑体_GBK" w:cs="方正黑体_GBK"/>
                <w:b/>
                <w:sz w:val="18"/>
              </w:rPr>
              <w:t>前可以撤销赎回申请。</w:t>
            </w:r>
          </w:p>
          <w:p>
            <w:pPr>
              <w:spacing w:line="200" w:lineRule="exact"/>
              <w:jc w:val="left"/>
              <w:rPr>
                <w:rFonts w:hint="eastAsia" w:ascii="方正黑体_GBK" w:hAnsi="方正黑体_GBK" w:eastAsia="方正黑体_GBK" w:cs="方正黑体_GBK"/>
              </w:rPr>
            </w:pPr>
            <w:r>
              <w:rPr>
                <w:rFonts w:hint="eastAsia" w:ascii="方正黑体_GBK" w:hAnsi="方正黑体_GBK" w:eastAsia="方正黑体_GBK" w:cs="方正黑体_GBK"/>
                <w:b/>
                <w:sz w:val="18"/>
              </w:rPr>
              <w:t>4.</w:t>
            </w:r>
            <w:r>
              <w:rPr>
                <w:rFonts w:hint="eastAsia" w:ascii="方正黑体_GBK" w:hAnsi="方正黑体_GBK" w:eastAsia="方正黑体_GBK" w:cs="方正黑体_GBK"/>
                <w:sz w:val="18"/>
              </w:rPr>
              <w:t>产品开放日为产品存续期内每周一至周五（指工作日），但不包括国家法定节假日、休息日和南银理财公告暂停开放的日期。</w:t>
            </w:r>
            <w:r>
              <w:rPr>
                <w:rFonts w:hint="eastAsia" w:ascii="方正黑体_GBK" w:hAnsi="方正黑体_GBK" w:eastAsia="方正黑体_GBK" w:cs="方正黑体_GBK"/>
                <w:b/>
                <w:sz w:val="18"/>
              </w:rPr>
              <w:t>系统批处理时间无法进行任何操作，届时系统将相应提示，系统批处理时间预计在0：00至3：00之间，如遇特殊情况延迟，敬请投资者注意。</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5.份额运作终止日至资金到账日间赎回款项不计任何收益。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赎回金额计算</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赎回金额=赎回份额×赎回确认日产品单位净值（赎回确认日为赎回受理日当日）（赎回金额按去尾法保留两位小数）产品的赎回费、业绩报酬等费用（如有）将从赎回金额中扣除。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收益分配</w:t>
            </w:r>
          </w:p>
        </w:tc>
        <w:tc>
          <w:tcPr>
            <w:tcW w:w="8275" w:type="dxa"/>
            <w:tcBorders>
              <w:top w:val="single" w:color="auto" w:sz="4" w:space="0"/>
              <w:left w:val="nil"/>
              <w:bottom w:val="single" w:color="auto" w:sz="4" w:space="0"/>
              <w:right w:val="single" w:color="auto" w:sz="4" w:space="0"/>
              <w:tl2br w:val="nil"/>
              <w:tr2bl w:val="nil"/>
            </w:tcBorders>
            <w:vAlign w:val="center"/>
          </w:tcPr>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sz w:val="18"/>
              </w:rPr>
              <w:t>当理财产品单位净值不低于1时，管理人可以根据实际情况进行收益分配，分配方式为现金分红，具体分配方案以信息披露为准（分配后理财产品净值不低于1）。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产品到期后，理财产品管理人和代销机构将根据理财资金所投资资产实际运作情况向投资者分配到期款项。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资金到账日</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分红资金（如有）、赎回资金、到期资金将于分红权益登记日（如有）、赎回确认日、实际到期日后5个工作日内划入投资者授权指定账户，分红权益登记日（如有）、赎回确认日、实际到期日后至投资者收益划到投资者授权指定账户之前不计任何收益。分红权益登记日指管理人确认投资者所持份额是否享受本次分红的日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投资范围</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本理财产品募集的资金投资于以下金融资产和金融工具，包括但不限于：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1.现金、银行存款、银行承兑汇票、同业存款、大额存单、同业存单、债券回购、货币基金等货币市场工具；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3.公开募集基础设施证券投资基金等符合监管要求的公募证券投资基金；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4.投资范围为上述资产的信托计划、资产管理计划等资产管理产品；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5.法律法规或监管机构允许投资的符合本理财产品投资性质的其他金融工具；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6.如存在法律法规或监管机构以后允许投资的其他品种或法律法规或监管政策出现调整，管理人在履行本理财产品销售文件规定的适当程序后，有权调整以上品种。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投资比例</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本理财产品投资于固定收益类资产的比例不低于本理财产品总资产</w:t>
            </w:r>
            <w:r>
              <w:rPr>
                <w:rFonts w:hint="eastAsia" w:ascii="方正黑体_GBK" w:hAnsi="方正黑体_GBK" w:eastAsia="方正黑体_GBK" w:cs="方正黑体_GBK"/>
                <w:sz w:val="18"/>
                <w:lang w:eastAsia="zh-CN"/>
              </w:rPr>
              <w:t>的</w:t>
            </w:r>
            <w:r>
              <w:rPr>
                <w:rFonts w:hint="eastAsia" w:ascii="方正黑体_GBK" w:hAnsi="方正黑体_GBK" w:eastAsia="方正黑体_GBK" w:cs="方正黑体_GBK"/>
                <w:sz w:val="18"/>
              </w:rPr>
              <w:t>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投资策略</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bCs/>
                <w:caps w:val="0"/>
                <w:smallCaps w:val="0"/>
                <w:snapToGrid/>
                <w:vanish w:val="0"/>
                <w:color w:val="auto"/>
                <w:kern w:val="0"/>
                <w:sz w:val="18"/>
                <w:szCs w:val="18"/>
                <w:vertAlign w:val="baseline"/>
              </w:rPr>
              <w:t>业绩比较基准</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本理财产品的业绩比较基准为</w:t>
            </w:r>
            <w:r>
              <w:rPr>
                <w:rFonts w:hint="eastAsia" w:ascii="方正黑体_GBK" w:hAnsi="方正黑体_GBK" w:eastAsia="方正黑体_GBK" w:cs="方正黑体_GBK"/>
                <w:sz w:val="18"/>
                <w:lang w:eastAsia="zh-CN"/>
              </w:rPr>
              <w:t>年化</w:t>
            </w:r>
            <w:r>
              <w:rPr>
                <w:rFonts w:hint="eastAsia" w:ascii="方正黑体_GBK" w:hAnsi="方正黑体_GBK" w:eastAsia="方正黑体_GBK" w:cs="方正黑体_GBK"/>
                <w:sz w:val="18"/>
                <w:lang w:val="en-US" w:eastAsia="zh-CN"/>
              </w:rPr>
              <w:t>2.3%-3.3%</w:t>
            </w:r>
            <w:r>
              <w:rPr>
                <w:rFonts w:hint="eastAsia" w:ascii="方正黑体_GBK" w:hAnsi="方正黑体_GBK" w:eastAsia="方正黑体_GBK" w:cs="方正黑体_GBK"/>
                <w:sz w:val="1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本理财产品业绩比较基准是管理人基于过往投资经验、对产品存续期拟投资标的和相应投资市场波动的预判设定的投资目标。本理财产品投资于固定收益类资产的比例不低于总资产</w:t>
            </w:r>
            <w:r>
              <w:rPr>
                <w:rFonts w:hint="eastAsia" w:ascii="方正黑体_GBK" w:hAnsi="方正黑体_GBK" w:eastAsia="方正黑体_GBK" w:cs="方正黑体_GBK"/>
                <w:sz w:val="18"/>
                <w:lang w:eastAsia="zh-CN"/>
              </w:rPr>
              <w:t>的</w:t>
            </w:r>
            <w:r>
              <w:rPr>
                <w:rFonts w:hint="eastAsia" w:ascii="方正黑体_GBK" w:hAnsi="方正黑体_GBK" w:eastAsia="方正黑体_GBK" w:cs="方正黑体_GBK"/>
                <w:sz w:val="18"/>
              </w:rPr>
              <w:t>80%。结合债券市场的收益和波动水平预判，在本理财产品约定的投资策略基础上，管理人设定了本理财产品投资周期内业绩比较基准。</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b/>
                <w:sz w:val="18"/>
              </w:rPr>
              <w:t>本理财产品为净值型理财产品，业绩比较基准不是预期收益率，不代表产品的未来表现和实际收益，不构成对产品收益的承诺。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leftChars="0" w:right="0" w:rightChars="0" w:firstLine="0" w:firstLineChars="0"/>
              <w:contextualSpacing w:val="0"/>
              <w:jc w:val="left"/>
              <w:textAlignment w:val="auto"/>
              <w:outlineLvl w:val="9"/>
              <w:rPr>
                <w:rFonts w:hint="eastAsia" w:ascii="方正黑体_GBK" w:hAnsi="方正黑体_GBK" w:eastAsia="方正黑体_GBK" w:cs="方正黑体_GBK"/>
                <w:bCs/>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产品费用</w:t>
            </w:r>
          </w:p>
        </w:tc>
        <w:tc>
          <w:tcPr>
            <w:tcW w:w="8275" w:type="dxa"/>
            <w:tcBorders>
              <w:top w:val="single" w:color="auto" w:sz="4" w:space="0"/>
              <w:left w:val="nil"/>
              <w:bottom w:val="single" w:color="auto" w:sz="4" w:space="0"/>
              <w:right w:val="single" w:color="auto" w:sz="4" w:space="0"/>
              <w:tl2br w:val="nil"/>
              <w:tr2bl w:val="nil"/>
            </w:tcBorders>
            <w:vAlign w:val="center"/>
          </w:tcPr>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申购费：本理财产品暂不收取申购费。</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赎回费：本理财产品暂不收取赎回费。</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销售费：本理财产品按前一日理财产品资产净值收取年化0.2%的销售费，按日计提。</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每日计提的销售费=前一日本理财产品资产净值×年化销售费率÷365</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固定管理费：本理财产品按前一日理财产品资产净值收取年化0.4%的固定管理费，按日计提。</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每日计提的固定管理费=前一日本理财产品资产净值×年化固定管理费率÷365</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托管费：本理财产品按前一日理财产品资产净值收取年化0.02%的托管费，按日计提。</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每日计提的托管费=前一日本理财产品资产净值×年化托管费率÷365</w:t>
            </w:r>
          </w:p>
          <w:p>
            <w:pPr>
              <w:widowControl/>
              <w:shd w:val="clear" w:color="auto" w:fill="auto"/>
              <w:spacing w:line="200" w:lineRule="exact"/>
              <w:jc w:val="left"/>
              <w:rPr>
                <w:rFonts w:hint="eastAsia" w:ascii="方正黑体_GBK" w:hAnsi="方正黑体_GBK" w:eastAsia="方正黑体_GBK" w:cs="方正黑体_GBK"/>
                <w:b/>
                <w:bCs/>
                <w:color w:val="auto"/>
                <w:kern w:val="0"/>
                <w:sz w:val="18"/>
                <w:szCs w:val="18"/>
                <w:highlight w:val="none"/>
              </w:rPr>
            </w:pPr>
            <w:r>
              <w:rPr>
                <w:rFonts w:hint="eastAsia" w:ascii="方正黑体_GBK" w:hAnsi="方正黑体_GBK" w:eastAsia="方正黑体_GBK" w:cs="方正黑体_GBK"/>
                <w:b/>
                <w:bCs/>
                <w:color w:val="auto"/>
                <w:kern w:val="0"/>
                <w:sz w:val="18"/>
                <w:szCs w:val="18"/>
                <w:highlight w:val="none"/>
              </w:rPr>
              <w:t>注：</w:t>
            </w:r>
            <w:r>
              <w:rPr>
                <w:rFonts w:hint="eastAsia" w:ascii="方正黑体_GBK" w:hAnsi="方正黑体_GBK" w:eastAsia="方正黑体_GBK" w:cs="方正黑体_GBK"/>
                <w:b/>
                <w:bCs/>
                <w:color w:val="auto"/>
                <w:kern w:val="0"/>
                <w:sz w:val="18"/>
                <w:szCs w:val="18"/>
                <w:highlight w:val="none"/>
                <w:lang w:eastAsia="zh-CN"/>
              </w:rPr>
              <w:t>投资者</w:t>
            </w:r>
            <w:r>
              <w:rPr>
                <w:rFonts w:hint="eastAsia" w:ascii="方正黑体_GBK" w:hAnsi="方正黑体_GBK" w:eastAsia="方正黑体_GBK" w:cs="方正黑体_GBK"/>
                <w:b/>
                <w:bCs/>
                <w:color w:val="auto"/>
                <w:kern w:val="0"/>
                <w:sz w:val="18"/>
                <w:szCs w:val="18"/>
                <w:highlight w:val="none"/>
              </w:rPr>
              <w:t>份额持有期间</w:t>
            </w:r>
            <w:r>
              <w:rPr>
                <w:rFonts w:hint="eastAsia" w:ascii="方正黑体_GBK" w:hAnsi="方正黑体_GBK" w:eastAsia="方正黑体_GBK" w:cs="方正黑体_GBK"/>
                <w:b/>
                <w:bCs/>
                <w:color w:val="auto"/>
                <w:kern w:val="0"/>
                <w:sz w:val="18"/>
                <w:szCs w:val="18"/>
                <w:highlight w:val="none"/>
                <w:lang w:val="en-US" w:eastAsia="zh-CN"/>
              </w:rPr>
              <w:t>年化收益率</w:t>
            </w:r>
            <w:r>
              <w:rPr>
                <w:rFonts w:hint="eastAsia" w:ascii="方正黑体_GBK" w:hAnsi="方正黑体_GBK" w:eastAsia="方正黑体_GBK" w:cs="方正黑体_GBK"/>
                <w:b/>
                <w:bCs/>
                <w:color w:val="auto"/>
                <w:kern w:val="0"/>
                <w:sz w:val="18"/>
                <w:szCs w:val="18"/>
                <w:highlight w:val="none"/>
              </w:rPr>
              <w:t>=（</w:t>
            </w:r>
            <w:r>
              <w:rPr>
                <w:rFonts w:hint="eastAsia" w:ascii="方正黑体_GBK" w:hAnsi="方正黑体_GBK" w:eastAsia="方正黑体_GBK" w:cs="方正黑体_GBK"/>
                <w:b/>
                <w:bCs/>
                <w:color w:val="auto"/>
                <w:kern w:val="0"/>
                <w:sz w:val="18"/>
                <w:szCs w:val="18"/>
                <w:highlight w:val="none"/>
                <w:lang w:eastAsia="zh-CN"/>
              </w:rPr>
              <w:t>赎回确认日</w:t>
            </w:r>
            <w:r>
              <w:rPr>
                <w:rFonts w:hint="eastAsia" w:ascii="方正黑体_GBK" w:hAnsi="方正黑体_GBK" w:eastAsia="方正黑体_GBK" w:cs="方正黑体_GBK"/>
                <w:b/>
                <w:bCs/>
                <w:color w:val="auto"/>
                <w:kern w:val="0"/>
                <w:sz w:val="18"/>
                <w:szCs w:val="18"/>
                <w:highlight w:val="none"/>
              </w:rPr>
              <w:t>产品</w:t>
            </w:r>
            <w:r>
              <w:rPr>
                <w:rFonts w:hint="eastAsia" w:ascii="方正黑体_GBK" w:hAnsi="方正黑体_GBK" w:eastAsia="方正黑体_GBK" w:cs="方正黑体_GBK"/>
                <w:b/>
                <w:bCs/>
                <w:color w:val="auto"/>
                <w:kern w:val="0"/>
                <w:sz w:val="18"/>
                <w:szCs w:val="18"/>
                <w:highlight w:val="none"/>
                <w:lang w:eastAsia="zh-CN"/>
              </w:rPr>
              <w:t>累计</w:t>
            </w:r>
            <w:r>
              <w:rPr>
                <w:rFonts w:hint="eastAsia" w:ascii="方正黑体_GBK" w:hAnsi="方正黑体_GBK" w:eastAsia="方正黑体_GBK" w:cs="方正黑体_GBK"/>
                <w:b/>
                <w:bCs/>
                <w:color w:val="auto"/>
                <w:kern w:val="0"/>
                <w:sz w:val="18"/>
                <w:szCs w:val="18"/>
                <w:highlight w:val="none"/>
              </w:rPr>
              <w:t>净值</w:t>
            </w:r>
            <w:r>
              <w:rPr>
                <w:rFonts w:hint="eastAsia" w:ascii="方正黑体_GBK" w:hAnsi="方正黑体_GBK" w:eastAsia="方正黑体_GBK" w:cs="方正黑体_GBK"/>
                <w:b/>
                <w:bCs/>
                <w:color w:val="auto"/>
                <w:kern w:val="0"/>
                <w:sz w:val="18"/>
                <w:szCs w:val="18"/>
                <w:highlight w:val="none"/>
                <w:lang w:eastAsia="zh-CN"/>
              </w:rPr>
              <w:t>或实际到期日前一产品开放日产品累计净值</w:t>
            </w:r>
            <w:r>
              <w:rPr>
                <w:rFonts w:hint="eastAsia" w:ascii="方正黑体_GBK" w:hAnsi="方正黑体_GBK" w:eastAsia="方正黑体_GBK" w:cs="方正黑体_GBK"/>
                <w:b/>
                <w:bCs/>
                <w:color w:val="auto"/>
                <w:kern w:val="0"/>
                <w:sz w:val="18"/>
                <w:szCs w:val="18"/>
                <w:highlight w:val="none"/>
                <w:lang w:val="en-US" w:eastAsia="zh-CN"/>
              </w:rPr>
              <w:t>-</w:t>
            </w:r>
            <w:r>
              <w:rPr>
                <w:rFonts w:hint="eastAsia" w:ascii="方正黑体_GBK" w:hAnsi="方正黑体_GBK" w:eastAsia="方正黑体_GBK" w:cs="方正黑体_GBK"/>
                <w:b/>
                <w:bCs/>
                <w:color w:val="auto"/>
                <w:kern w:val="0"/>
                <w:sz w:val="18"/>
                <w:szCs w:val="18"/>
                <w:highlight w:val="none"/>
                <w:lang w:eastAsia="zh-CN"/>
              </w:rPr>
              <w:t>申购确认日</w:t>
            </w:r>
            <w:r>
              <w:rPr>
                <w:rFonts w:hint="eastAsia" w:ascii="方正黑体_GBK" w:hAnsi="方正黑体_GBK" w:eastAsia="方正黑体_GBK" w:cs="方正黑体_GBK"/>
                <w:b/>
                <w:bCs/>
                <w:color w:val="auto"/>
                <w:kern w:val="0"/>
                <w:sz w:val="18"/>
                <w:szCs w:val="18"/>
                <w:highlight w:val="none"/>
              </w:rPr>
              <w:t>产品</w:t>
            </w:r>
            <w:r>
              <w:rPr>
                <w:rFonts w:hint="eastAsia" w:ascii="方正黑体_GBK" w:hAnsi="方正黑体_GBK" w:eastAsia="方正黑体_GBK" w:cs="方正黑体_GBK"/>
                <w:b/>
                <w:bCs/>
                <w:color w:val="auto"/>
                <w:kern w:val="0"/>
                <w:sz w:val="18"/>
                <w:szCs w:val="18"/>
                <w:highlight w:val="none"/>
                <w:lang w:eastAsia="zh-CN"/>
              </w:rPr>
              <w:t>累计</w:t>
            </w:r>
            <w:r>
              <w:rPr>
                <w:rFonts w:hint="eastAsia" w:ascii="方正黑体_GBK" w:hAnsi="方正黑体_GBK" w:eastAsia="方正黑体_GBK" w:cs="方正黑体_GBK"/>
                <w:b/>
                <w:bCs/>
                <w:color w:val="auto"/>
                <w:kern w:val="0"/>
                <w:sz w:val="18"/>
                <w:szCs w:val="18"/>
                <w:highlight w:val="none"/>
              </w:rPr>
              <w:t>净值）÷</w:t>
            </w:r>
            <w:r>
              <w:rPr>
                <w:rFonts w:hint="eastAsia" w:ascii="方正黑体_GBK" w:hAnsi="方正黑体_GBK" w:eastAsia="方正黑体_GBK" w:cs="方正黑体_GBK"/>
                <w:b/>
                <w:bCs/>
                <w:color w:val="auto"/>
                <w:kern w:val="0"/>
                <w:sz w:val="18"/>
                <w:szCs w:val="18"/>
                <w:highlight w:val="none"/>
                <w:lang w:eastAsia="zh-CN"/>
              </w:rPr>
              <w:t>申购确认日</w:t>
            </w:r>
            <w:r>
              <w:rPr>
                <w:rFonts w:hint="eastAsia" w:ascii="方正黑体_GBK" w:hAnsi="方正黑体_GBK" w:eastAsia="方正黑体_GBK" w:cs="方正黑体_GBK"/>
                <w:b/>
                <w:bCs/>
                <w:color w:val="auto"/>
                <w:kern w:val="0"/>
                <w:sz w:val="18"/>
                <w:szCs w:val="18"/>
                <w:highlight w:val="none"/>
              </w:rPr>
              <w:t>产品</w:t>
            </w:r>
            <w:r>
              <w:rPr>
                <w:rFonts w:hint="eastAsia" w:ascii="方正黑体_GBK" w:hAnsi="方正黑体_GBK" w:eastAsia="方正黑体_GBK" w:cs="方正黑体_GBK"/>
                <w:b/>
                <w:bCs/>
                <w:color w:val="auto"/>
                <w:kern w:val="0"/>
                <w:sz w:val="18"/>
                <w:szCs w:val="18"/>
                <w:highlight w:val="none"/>
                <w:lang w:eastAsia="zh-CN"/>
              </w:rPr>
              <w:t>单位</w:t>
            </w:r>
            <w:r>
              <w:rPr>
                <w:rFonts w:hint="eastAsia" w:ascii="方正黑体_GBK" w:hAnsi="方正黑体_GBK" w:eastAsia="方正黑体_GBK" w:cs="方正黑体_GBK"/>
                <w:b/>
                <w:bCs/>
                <w:color w:val="auto"/>
                <w:kern w:val="0"/>
                <w:sz w:val="18"/>
                <w:szCs w:val="18"/>
                <w:highlight w:val="none"/>
              </w:rPr>
              <w:t>净值÷</w:t>
            </w:r>
            <w:r>
              <w:rPr>
                <w:rFonts w:hint="eastAsia" w:ascii="方正黑体_GBK" w:hAnsi="方正黑体_GBK" w:eastAsia="方正黑体_GBK" w:cs="方正黑体_GBK"/>
                <w:b/>
                <w:bCs/>
                <w:color w:val="auto"/>
                <w:kern w:val="0"/>
                <w:sz w:val="18"/>
                <w:szCs w:val="18"/>
                <w:highlight w:val="none"/>
                <w:lang w:eastAsia="zh-CN"/>
              </w:rPr>
              <w:t>投资者</w:t>
            </w:r>
            <w:r>
              <w:rPr>
                <w:rFonts w:hint="eastAsia" w:ascii="方正黑体_GBK" w:hAnsi="方正黑体_GBK" w:eastAsia="方正黑体_GBK" w:cs="方正黑体_GBK"/>
                <w:b/>
                <w:bCs/>
                <w:color w:val="auto"/>
                <w:kern w:val="0"/>
                <w:sz w:val="18"/>
                <w:szCs w:val="18"/>
                <w:highlight w:val="none"/>
              </w:rPr>
              <w:t>份额实际持有天数×365天。</w:t>
            </w:r>
            <w:r>
              <w:rPr>
                <w:rFonts w:hint="eastAsia" w:ascii="方正黑体_GBK" w:hAnsi="方正黑体_GBK" w:eastAsia="方正黑体_GBK" w:cs="方正黑体_GBK"/>
                <w:b/>
                <w:bCs/>
                <w:color w:val="auto"/>
                <w:kern w:val="0"/>
                <w:sz w:val="18"/>
                <w:szCs w:val="18"/>
                <w:highlight w:val="none"/>
                <w:lang w:eastAsia="zh-CN"/>
              </w:rPr>
              <w:t>投资者</w:t>
            </w:r>
            <w:r>
              <w:rPr>
                <w:rFonts w:hint="eastAsia" w:ascii="方正黑体_GBK" w:hAnsi="方正黑体_GBK" w:eastAsia="方正黑体_GBK" w:cs="方正黑体_GBK"/>
                <w:b/>
                <w:bCs/>
                <w:color w:val="auto"/>
                <w:kern w:val="0"/>
                <w:sz w:val="18"/>
                <w:szCs w:val="18"/>
                <w:highlight w:val="none"/>
              </w:rPr>
              <w:t>份额实际持有天数</w:t>
            </w:r>
            <w:r>
              <w:rPr>
                <w:rFonts w:hint="eastAsia" w:ascii="方正黑体_GBK" w:hAnsi="方正黑体_GBK" w:eastAsia="方正黑体_GBK" w:cs="方正黑体_GBK"/>
                <w:b/>
                <w:bCs/>
                <w:color w:val="auto"/>
                <w:kern w:val="0"/>
                <w:sz w:val="18"/>
                <w:szCs w:val="18"/>
                <w:highlight w:val="none"/>
                <w:lang w:eastAsia="zh-CN"/>
              </w:rPr>
              <w:t>为份额运作起始日（含）</w:t>
            </w:r>
            <w:r>
              <w:rPr>
                <w:rFonts w:hint="eastAsia" w:ascii="方正黑体_GBK" w:hAnsi="方正黑体_GBK" w:eastAsia="方正黑体_GBK" w:cs="方正黑体_GBK"/>
                <w:b/>
                <w:bCs/>
                <w:color w:val="auto"/>
                <w:kern w:val="0"/>
                <w:sz w:val="18"/>
                <w:szCs w:val="18"/>
                <w:highlight w:val="none"/>
              </w:rPr>
              <w:t>至</w:t>
            </w:r>
            <w:r>
              <w:rPr>
                <w:rFonts w:hint="eastAsia" w:ascii="方正黑体_GBK" w:hAnsi="方正黑体_GBK" w:eastAsia="方正黑体_GBK" w:cs="方正黑体_GBK"/>
                <w:b/>
                <w:bCs/>
                <w:color w:val="auto"/>
                <w:kern w:val="0"/>
                <w:sz w:val="18"/>
                <w:szCs w:val="18"/>
                <w:highlight w:val="none"/>
                <w:lang w:eastAsia="zh-CN"/>
              </w:rPr>
              <w:t>份额运作终止日</w:t>
            </w:r>
            <w:r>
              <w:rPr>
                <w:rFonts w:hint="eastAsia" w:ascii="方正黑体_GBK" w:hAnsi="方正黑体_GBK" w:eastAsia="方正黑体_GBK" w:cs="方正黑体_GBK"/>
                <w:b/>
                <w:bCs/>
                <w:color w:val="auto"/>
                <w:kern w:val="0"/>
                <w:sz w:val="18"/>
                <w:szCs w:val="18"/>
                <w:highlight w:val="none"/>
              </w:rPr>
              <w:t>（不含）之间的天数。</w:t>
            </w:r>
          </w:p>
          <w:p>
            <w:pPr>
              <w:widowControl/>
              <w:shd w:val="clear" w:color="auto" w:fill="auto"/>
              <w:spacing w:line="200" w:lineRule="exact"/>
              <w:jc w:val="left"/>
              <w:rPr>
                <w:rFonts w:hint="eastAsia" w:ascii="方正黑体_GBK" w:hAnsi="方正黑体_GBK" w:eastAsia="方正黑体_GBK" w:cs="方正黑体_GBK"/>
                <w:lang w:eastAsia="zh-CN"/>
              </w:rPr>
            </w:pPr>
            <w:r>
              <w:rPr>
                <w:rFonts w:hint="eastAsia" w:ascii="方正黑体_GBK" w:hAnsi="方正黑体_GBK" w:eastAsia="方正黑体_GBK" w:cs="方正黑体_GBK"/>
                <w:b/>
                <w:bCs/>
                <w:color w:val="auto"/>
                <w:kern w:val="0"/>
                <w:sz w:val="18"/>
                <w:szCs w:val="18"/>
                <w:highlight w:val="none"/>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风险事件说明</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具体详见本理财产品风险揭示书。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一是建仓或进行组合调整时，若投资资产包括债券或基金，可能由于特定债券或基金的流动性相对不足而无法按预期的价格买进（申购）或卖出（赎回）；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二是为应对投资者的赎回，被迫以不适当的价格卖出债券或赎回基金；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三是若投资资产包括非标准化债权类资产，可能由于资产缺少流动性而难以变现。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以上情形均可能使产品净值受到不利影响。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理财产品管理人及管理人职责</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1.按照法律法规、监管规定及理财产品销售文件的约定，发行并管理理财产品；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2.根据理财产品的投资组合、同类产品过往业绩和风险状况等因素，对理财产品进行评级；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3.按照法律法规、监管规定及与投资者约定的信息披露渠道及时披露理财产品相关信息；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4.按照理财产品销售文件约定的投资范围和权限，负责理财产品资金的运用和管理，向投资者进行收益分配；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5.审慎选择理财产品销售机构，切实履行对销售机构的管理责任；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6.根据法律法规、监管规定建立健全投资者权益保护管理体系；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7.国务院银行业监督管理机构规定及本理财产品销售文件中约定的其他职责。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销售机构及销售机构职责</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本理财产品销售机构为南银理财有限责任公司、南京银行股份有限公司</w:t>
            </w:r>
            <w:r>
              <w:rPr>
                <w:rFonts w:hint="eastAsia" w:ascii="方正黑体_GBK" w:hAnsi="方正黑体_GBK" w:eastAsia="方正黑体_GBK" w:cs="方正黑体_GBK"/>
                <w:sz w:val="18"/>
                <w:lang w:eastAsia="zh-CN"/>
              </w:rPr>
              <w:t>、浙江网商银行股份有限公司、齐鲁银行股份有限公司、天津农村商业银行股份有限公司</w:t>
            </w:r>
            <w:r>
              <w:rPr>
                <w:rFonts w:hint="eastAsia" w:ascii="方正黑体_GBK" w:hAnsi="方正黑体_GBK" w:eastAsia="方正黑体_GBK" w:cs="方正黑体_GBK"/>
                <w:sz w:val="18"/>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管理人有权调整本理财产品的销售机构并进行信息披露。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销售机构主要职责如下：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1.按照法律法规、监管规定及理财产品销售文件的约定，开展理财产品销售活动，向投资者充分披露信息和揭示风险；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2.对非机构投资者的风险承受能力进行评估，确保投资者风险承受能力评估的客观性、及时性和有效性；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3.妥善保管投资者理财产品销售材料，保管年限不低于20年；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4.根据反洗钱、反恐怖融资及非居民金融账户涉税信息尽职调查等相关法律法规要求识别客户身份；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5.建立健全投资者权益保护管理体系，加强投资者适当性管理；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6.国务院银行业监督管理机构规定及本理财产品管理人与销售机构约定的其他职责。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hidden/>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aps w:val="0"/>
                <w:smallCaps w:val="0"/>
                <w:snapToGrid/>
                <w:vanish w:val="0"/>
                <w:color w:val="auto"/>
                <w:kern w:val="0"/>
                <w:sz w:val="18"/>
                <w:szCs w:val="18"/>
                <w:vertAlign w:val="baseline"/>
              </w:rPr>
              <w:t>托管人及托管人职责</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本理财产品托管人为南京银行股份有限公司，主要职责如下：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1、安全保管理财产品财产；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2、为每只理财产品开设独立的托管账户，不同托管账户中的资产应当相互独立；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3、按照托管协议约定和管理人的投资指令，及时办理清算、交割事宜；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4、建立与管理人的对账机制，复核、审查理财产品资金头寸、资产账目、资产净值、认购和赎回价格等数据，及时核查认购、赎回以及投资资金的支付和到账情况；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5、监督理财产品投资运作，发现理财产品违反法律、行政法规、规章规定或合同约定进行投资的，应当拒绝执行，及时通知管理人并报告银行业监督管理机构；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7、理财托管业务活动的记录、账册、报表和其他相关资料保存20年以上；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8、对理财产品投资信息和相关资料承担保密责任，除法律、行政法规、规章规定、审计要求或者合同约定外，不得向任何机构或者个人提供相关信息和资料；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9、国务院银行业监督管理机构规定及本理财产品相关托管协议中约定的其他职责。</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拟进行合作的理财投资合作机构</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lang w:eastAsia="zh-CN"/>
              </w:rPr>
            </w:pPr>
            <w:r>
              <w:rPr>
                <w:rFonts w:hint="eastAsia" w:ascii="方正黑体_GBK" w:hAnsi="方正黑体_GBK" w:eastAsia="方正黑体_GBK" w:cs="方正黑体_GBK"/>
              </w:rPr>
              <w:t>本理财产品合作机构为华润深国投信托有限公司、江苏省国际信托有限责任公司、平安资产管理有限责任公司、泰康资产管理有限责任公司、鑫元基金管理有限公司、鑫沅资产管理有限公司</w:t>
            </w:r>
            <w:r>
              <w:rPr>
                <w:rFonts w:hint="eastAsia" w:ascii="方正黑体_GBK" w:hAnsi="方正黑体_GBK" w:eastAsia="方正黑体_GBK" w:cs="方正黑体_GBK"/>
                <w:lang w:eastAsia="zh-CN"/>
              </w:rPr>
              <w:t>、太平洋资产管理有限责任公司、中粮信托有限责任公司。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上述投资合作机构</w:t>
            </w:r>
            <w:r>
              <w:rPr>
                <w:rFonts w:hint="eastAsia" w:ascii="方正黑体_GBK" w:hAnsi="方正黑体_GBK" w:eastAsia="方正黑体_GBK" w:cs="方正黑体_GBK"/>
                <w:lang w:val="en-US" w:eastAsia="zh-CN"/>
              </w:rPr>
              <w:t>为</w:t>
            </w:r>
            <w:r>
              <w:rPr>
                <w:rFonts w:hint="eastAsia" w:ascii="方正黑体_GBK" w:hAnsi="方正黑体_GBK" w:eastAsia="方正黑体_GBK" w:cs="方正黑体_GBK"/>
                <w:sz w:val="18"/>
              </w:rPr>
              <w:t>理财产品受托投资的机构，主要承担根据合同约定进行受托资金的投资管理的职责</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具体职责以管理人与投资合作机构签署的合同为准。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若上述合作机构及其职责发生调整，管理人将在本理财产品的定期报告中进行信息披露。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上述投资合作机构简介：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华润深国投信托有限公司成立于</w:t>
            </w:r>
            <w:r>
              <w:rPr>
                <w:rFonts w:hint="eastAsia" w:ascii="方正黑体_GBK" w:hAnsi="方正黑体_GBK" w:eastAsia="方正黑体_GBK" w:cs="方正黑体_GBK"/>
                <w:lang w:val="en-US" w:eastAsia="zh-CN"/>
              </w:rPr>
              <w:t>1982</w:t>
            </w:r>
            <w:r>
              <w:rPr>
                <w:rFonts w:hint="eastAsia" w:ascii="方正黑体_GBK" w:hAnsi="方正黑体_GBK" w:eastAsia="方正黑体_GBK" w:cs="方正黑体_GBK"/>
              </w:rPr>
              <w:t>年</w:t>
            </w:r>
            <w:r>
              <w:rPr>
                <w:rFonts w:hint="eastAsia" w:ascii="方正黑体_GBK" w:hAnsi="方正黑体_GBK" w:eastAsia="方正黑体_GBK" w:cs="方正黑体_GBK"/>
                <w:lang w:val="en-US" w:eastAsia="zh-CN"/>
              </w:rPr>
              <w:t>8</w:t>
            </w:r>
            <w:r>
              <w:rPr>
                <w:rFonts w:hint="eastAsia" w:ascii="方正黑体_GBK" w:hAnsi="方正黑体_GBK" w:eastAsia="方正黑体_GBK" w:cs="方正黑体_GBK"/>
              </w:rPr>
              <w:t>月</w:t>
            </w:r>
            <w:r>
              <w:rPr>
                <w:rFonts w:hint="eastAsia" w:ascii="方正黑体_GBK" w:hAnsi="方正黑体_GBK" w:eastAsia="方正黑体_GBK" w:cs="方正黑体_GBK"/>
                <w:lang w:val="en-US" w:eastAsia="zh-CN"/>
              </w:rPr>
              <w:t>24</w:t>
            </w:r>
            <w:r>
              <w:rPr>
                <w:rFonts w:hint="eastAsia" w:ascii="方正黑体_GBK" w:hAnsi="方正黑体_GBK" w:eastAsia="方正黑体_GBK" w:cs="方正黑体_GBK"/>
              </w:rPr>
              <w:t>日，注册资本金</w:t>
            </w:r>
            <w:r>
              <w:rPr>
                <w:rFonts w:hint="eastAsia" w:ascii="方正黑体_GBK" w:hAnsi="方正黑体_GBK" w:eastAsia="方正黑体_GBK" w:cs="方正黑体_GBK"/>
                <w:lang w:val="en-US" w:eastAsia="zh-CN"/>
              </w:rPr>
              <w:t>110亿元</w:t>
            </w:r>
            <w:r>
              <w:rPr>
                <w:rFonts w:hint="eastAsia" w:ascii="方正黑体_GBK" w:hAnsi="方正黑体_GBK" w:eastAsia="方正黑体_GBK" w:cs="方正黑体_GBK"/>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江苏省国际信托有限责任公司成立于1992年06月01日，注册资本金87.60亿元。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平安资产管理有限责任公司成立于2005年05月27日，注册资本金15亿元。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泰康资产管理有限责任公司成立于2006年02月21日，注册资本金10亿元。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鑫元基金管理有限公司成立于2013年08月29日，注册资本金17亿元。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鑫沅资产管理有限公司成立于2014年02月19日，注册资本金15.5亿元。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太平洋资产管理有限责任公司成立于</w:t>
            </w:r>
            <w:r>
              <w:rPr>
                <w:rFonts w:hint="eastAsia" w:ascii="方正黑体_GBK" w:hAnsi="方正黑体_GBK" w:eastAsia="方正黑体_GBK" w:cs="方正黑体_GBK"/>
                <w:lang w:val="en-US" w:eastAsia="zh-CN"/>
              </w:rPr>
              <w:t>2006年6月9日，注册资本金21亿元。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中粮信托有限责任公司成立于</w:t>
            </w:r>
            <w:r>
              <w:rPr>
                <w:rFonts w:hint="eastAsia" w:ascii="方正黑体_GBK" w:hAnsi="方正黑体_GBK" w:eastAsia="方正黑体_GBK" w:cs="方正黑体_GBK"/>
                <w:lang w:val="en-US" w:eastAsia="zh-CN"/>
              </w:rPr>
              <w:t>2009年7月27日，注册资本金28.3亿元。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巨额赎回情形及处理</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本理财产品单个开放日净赎回申请超过前一产品工作日日终本理财产品总份额的 10%时，触发巨额赎回，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在赎回确认日管理人办理的赎回份额将不低于前一产品工作日日终理财产品总份额的 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本理财产品在开放日发生巨额赎回时，管理人有权根据产品的实际运作情况采取如下措施中的一种：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1.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 10%，并按单个投资者的赎回申请份额占当日所有投资者的净赎回申请总份额的比例，确认该投资者当日办理的赎回申请份额，对于其余赎回申请管理人可暂停接受或延期办理。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（1）投资者在申请赎回时可选择将当日未获办理部分予以撤销，即暂停接受情形，管理人将拒绝该部分赎回申请，撤销的部分投资者可在下一个产品开放日再次发起赎回申请。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2）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具体服务投资者可详询代销机构，最终以代销机构提供的服务为准。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2.接受全额赎回：当管理人认为有能力兑付投资者的全部赎回申请时，将在赎回确认日按正常赎回程序执行。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lang w:eastAsia="zh-CN"/>
              </w:rPr>
              <w:t>本理财产品发生巨额赎回、管理人接受部分赎回时，对于暂停接受和延期办理的部分，管理人可能需在下一个申购或赎回开放日才可确认，可能影响投资者的资金安排。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连续巨额赎回</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当</w:t>
            </w:r>
            <w:r>
              <w:rPr>
                <w:rFonts w:hint="eastAsia" w:ascii="方正黑体_GBK" w:hAnsi="方正黑体_GBK" w:eastAsia="方正黑体_GBK" w:cs="方正黑体_GBK"/>
                <w:sz w:val="18"/>
                <w:lang w:eastAsia="zh-CN"/>
              </w:rPr>
              <w:t>本理财产品</w:t>
            </w:r>
            <w:r>
              <w:rPr>
                <w:rFonts w:hint="eastAsia" w:ascii="方正黑体_GBK" w:hAnsi="方正黑体_GBK" w:eastAsia="方正黑体_GBK" w:cs="方正黑体_GBK"/>
                <w:sz w:val="18"/>
              </w:rPr>
              <w:t>连续2个以上开放日发生巨额赎回时，除采取上述措施外，对于已经接受的赎回申请，管理人有权延缓支付赎回款项，但延缓期限不得超过20个工作日。此种情况下，管理人将在3个交易日内进行信息披露</w:t>
            </w:r>
            <w:r>
              <w:rPr>
                <w:rFonts w:hint="eastAsia" w:ascii="方正黑体_GBK" w:hAnsi="方正黑体_GBK" w:eastAsia="方正黑体_GBK" w:cs="方正黑体_GBK"/>
                <w:sz w:val="18"/>
                <w:lang w:eastAsia="zh-CN"/>
              </w:rPr>
              <w:t>，</w:t>
            </w:r>
            <w:r>
              <w:rPr>
                <w:rFonts w:hint="eastAsia" w:ascii="方正黑体_GBK" w:hAnsi="方正黑体_GBK" w:eastAsia="方正黑体_GBK" w:cs="方正黑体_GBK"/>
                <w:sz w:val="18"/>
              </w:rPr>
              <w:t>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暂停认申购的情形及处理</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发生下列情形时，管理人可暂停接受认申购申请：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1.因不可抗力导致理财产品无法正常运作；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2.因监管政策、市场发生重大变化，导致理财产品无法正常运作；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3.管理人认为需要暂停认申购的其他情形。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若管理人暂停接受认申购申请，将在3个交易日内告知该理财产品的投资者，并说明运用相关措施的原因、拟采取的应对安排等。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在暂停接受认申购申请期间，投资者需重新进行资金安排。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shd w:val="clear" w:color="auto" w:fill="auto"/>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rPr>
              <w:t>暂停赎回的情形及处理</w:t>
            </w:r>
          </w:p>
        </w:tc>
        <w:tc>
          <w:tcPr>
            <w:tcW w:w="827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发生下列情形时，管理人可暂停接受投资者的赎回申请：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1.因不可抗力导致管理人不能支付赎回款项。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2.银行间市场或证券交易所交易时间非正常停市，导致管理人无法计算当日理财产品资产净值。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3.管理人、法律法规规定或监管认定的其他情形。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rPr>
            </w:pPr>
            <w:r>
              <w:rPr>
                <w:rFonts w:hint="eastAsia" w:ascii="方正黑体_GBK" w:hAnsi="方正黑体_GBK" w:eastAsia="方正黑体_GBK" w:cs="方正黑体_GBK"/>
                <w:sz w:val="18"/>
              </w:rPr>
              <w:t>若管理人暂停接受赎回申请，将在3个交易日内告知该理财产品的投资者，并说明运用相关措施的原因、拟采取的应对安排等。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s="方正黑体_GBK"/>
                <w:sz w:val="18"/>
                <w:lang w:eastAsia="zh-CN"/>
              </w:rPr>
            </w:pPr>
            <w:r>
              <w:rPr>
                <w:rFonts w:hint="eastAsia" w:ascii="方正黑体_GBK" w:hAnsi="方正黑体_GBK" w:eastAsia="方正黑体_GBK" w:cs="方正黑体_GBK"/>
                <w:sz w:val="18"/>
              </w:rPr>
              <w:t>在暂停接受赎回申请期间，投资者将无法获得赎回资金，需重新进行资金安排。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auto"/>
                <w:kern w:val="0"/>
                <w:sz w:val="18"/>
                <w:szCs w:val="18"/>
                <w:highlight w:val="none"/>
              </w:rPr>
              <w:t>其他说明事项</w:t>
            </w:r>
          </w:p>
        </w:tc>
        <w:tc>
          <w:tcPr>
            <w:tcW w:w="8275"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jc w:val="left"/>
              <w:rPr>
                <w:rFonts w:hint="eastAsia" w:ascii="方正黑体_GBK" w:hAnsi="方正黑体_GBK" w:eastAsia="方正黑体_GBK" w:cs="方正黑体_GBK"/>
                <w:color w:val="auto"/>
                <w:kern w:val="0"/>
                <w:sz w:val="18"/>
                <w:szCs w:val="18"/>
                <w:highlight w:val="none"/>
              </w:rPr>
            </w:pPr>
            <w:r>
              <w:rPr>
                <w:rFonts w:hint="eastAsia" w:ascii="方正黑体_GBK" w:hAnsi="方正黑体_GBK" w:eastAsia="方正黑体_GBK" w:cs="方正黑体_GBK"/>
                <w:color w:val="auto"/>
                <w:kern w:val="0"/>
                <w:sz w:val="18"/>
                <w:szCs w:val="18"/>
                <w:highlight w:val="none"/>
              </w:rPr>
              <w:t>1.</w:t>
            </w:r>
            <w:r>
              <w:rPr>
                <w:rFonts w:hint="eastAsia" w:ascii="方正黑体_GBK" w:hAnsi="方正黑体_GBK" w:eastAsia="方正黑体_GBK" w:cs="方正黑体_GBK"/>
                <w:b/>
                <w:bCs/>
                <w:color w:val="auto"/>
                <w:kern w:val="0"/>
                <w:sz w:val="18"/>
                <w:szCs w:val="18"/>
                <w:highlight w:val="none"/>
              </w:rPr>
              <w:t>持有期</w:t>
            </w:r>
            <w:r>
              <w:rPr>
                <w:rFonts w:hint="eastAsia" w:ascii="方正黑体_GBK" w:hAnsi="方正黑体_GBK" w:eastAsia="方正黑体_GBK" w:cs="方正黑体_GBK"/>
                <w:b/>
                <w:bCs/>
                <w:color w:val="auto"/>
                <w:kern w:val="0"/>
                <w:sz w:val="18"/>
                <w:szCs w:val="18"/>
                <w:highlight w:val="none"/>
                <w:lang w:val="en-US" w:eastAsia="zh-CN"/>
              </w:rPr>
              <w:t>7</w:t>
            </w:r>
            <w:r>
              <w:rPr>
                <w:rFonts w:hint="eastAsia" w:ascii="方正黑体_GBK" w:hAnsi="方正黑体_GBK" w:eastAsia="方正黑体_GBK" w:cs="方正黑体_GBK"/>
                <w:b/>
                <w:bCs/>
                <w:color w:val="auto"/>
                <w:kern w:val="0"/>
                <w:sz w:val="18"/>
                <w:szCs w:val="18"/>
                <w:highlight w:val="none"/>
              </w:rPr>
              <w:t>天以内的份额不可提出赎回申请</w:t>
            </w:r>
            <w:r>
              <w:rPr>
                <w:rFonts w:hint="eastAsia" w:ascii="方正黑体_GBK" w:hAnsi="方正黑体_GBK" w:eastAsia="方正黑体_GBK" w:cs="方正黑体_GBK"/>
                <w:color w:val="auto"/>
                <w:kern w:val="0"/>
                <w:sz w:val="18"/>
                <w:szCs w:val="18"/>
                <w:highlight w:val="none"/>
              </w:rPr>
              <w:t>，投资者应考虑产品最低持有期限并合理安排自身投资计划。</w:t>
            </w:r>
          </w:p>
          <w:p>
            <w:pPr>
              <w:widowControl/>
              <w:spacing w:line="200" w:lineRule="exact"/>
              <w:jc w:val="left"/>
              <w:rPr>
                <w:rFonts w:hint="eastAsia" w:ascii="方正黑体_GBK" w:hAnsi="方正黑体_GBK" w:eastAsia="方正黑体_GBK" w:cs="方正黑体_GBK"/>
                <w:color w:val="auto"/>
                <w:kern w:val="0"/>
                <w:sz w:val="18"/>
                <w:szCs w:val="18"/>
                <w:highlight w:val="none"/>
              </w:rPr>
            </w:pPr>
            <w:r>
              <w:rPr>
                <w:rFonts w:hint="eastAsia" w:ascii="方正黑体_GBK" w:hAnsi="方正黑体_GBK" w:eastAsia="方正黑体_GBK" w:cs="方正黑体_GBK"/>
                <w:color w:val="auto"/>
                <w:kern w:val="0"/>
                <w:sz w:val="18"/>
                <w:szCs w:val="18"/>
                <w:highlight w:val="none"/>
              </w:rPr>
              <w:t>2.管理人在本理财产品存续期间按照监管规定进行信息披露，详见本理财产品说明书第五条信息披露。</w:t>
            </w:r>
          </w:p>
          <w:p>
            <w:pPr>
              <w:widowControl/>
              <w:spacing w:line="200" w:lineRule="exact"/>
              <w:ind w:left="0" w:leftChars="0" w:right="0" w:rightChars="0" w:firstLine="0"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b/>
                <w:bCs/>
                <w:color w:val="auto"/>
                <w:kern w:val="0"/>
                <w:sz w:val="18"/>
                <w:szCs w:val="18"/>
                <w:highlight w:val="none"/>
              </w:rPr>
              <w:t>3.本理财产品投资的资产管理产品的业绩报酬、赎回费等的提取（如有）可能造成本理财产品净值的下降。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3" w:hRule="atLeast"/>
          <w:jc w:val="center"/>
        </w:trPr>
        <w:tc>
          <w:tcPr>
            <w:tcW w:w="182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caps w:val="0"/>
                <w:smallCaps w:val="0"/>
                <w:snapToGrid/>
                <w:vanish w:val="0"/>
                <w:color w:val="auto"/>
                <w:kern w:val="0"/>
                <w:sz w:val="18"/>
                <w:szCs w:val="18"/>
                <w:vertAlign w:val="baseline"/>
              </w:rPr>
            </w:pPr>
            <w:r>
              <w:rPr>
                <w:rFonts w:hint="eastAsia" w:ascii="方正黑体_GBK" w:hAnsi="方正黑体_GBK" w:eastAsia="方正黑体_GBK" w:cs="方正黑体_GBK"/>
                <w:color w:val="auto"/>
                <w:kern w:val="0"/>
                <w:sz w:val="18"/>
                <w:szCs w:val="18"/>
                <w:highlight w:val="none"/>
              </w:rPr>
              <w:t>税务处理</w:t>
            </w:r>
          </w:p>
        </w:tc>
        <w:tc>
          <w:tcPr>
            <w:tcW w:w="8275" w:type="dxa"/>
            <w:tcBorders>
              <w:top w:val="single" w:color="auto" w:sz="4" w:space="0"/>
              <w:left w:val="nil"/>
              <w:bottom w:val="single" w:color="auto" w:sz="4" w:space="0"/>
              <w:right w:val="single" w:color="auto" w:sz="4" w:space="0"/>
              <w:tl2br w:val="nil"/>
              <w:tr2bl w:val="nil"/>
            </w:tcBorders>
            <w:vAlign w:val="center"/>
          </w:tcPr>
          <w:p>
            <w:pPr>
              <w:widowControl/>
              <w:spacing w:line="200" w:lineRule="exact"/>
              <w:ind w:left="0" w:leftChars="0" w:right="0" w:rightChars="0" w:firstLine="0"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color w:val="auto"/>
                <w:kern w:val="0"/>
                <w:sz w:val="18"/>
                <w:szCs w:val="18"/>
                <w:highlight w:val="none"/>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caps w:val="0"/>
          <w:smallCaps w:val="0"/>
          <w:snapToGrid/>
          <w:vanish w:val="0"/>
          <w:color w:val="auto"/>
          <w:sz w:val="15"/>
          <w:szCs w:val="15"/>
          <w:vertAlign w:val="baseline"/>
        </w:rPr>
        <w:t>特别说明：本理财产品无预期收益率，</w:t>
      </w:r>
      <w:r>
        <w:rPr>
          <w:rFonts w:hint="eastAsia" w:ascii="方正黑体_GBK" w:hAnsi="方正黑体_GBK" w:eastAsia="方正黑体_GBK" w:cs="方正黑体_GBK"/>
          <w:b/>
          <w:caps w:val="0"/>
          <w:smallCaps w:val="0"/>
          <w:snapToGrid/>
          <w:vanish w:val="0"/>
          <w:color w:val="auto"/>
          <w:sz w:val="15"/>
          <w:szCs w:val="15"/>
          <w:u w:val="single"/>
          <w:vertAlign w:val="baseline"/>
        </w:rPr>
        <w:t>理财产品过往业绩不代表其未来表现，不等于理财产品实际收益，</w:t>
      </w:r>
      <w:r>
        <w:rPr>
          <w:rFonts w:hint="eastAsia" w:ascii="方正黑体_GBK" w:hAnsi="方正黑体_GBK" w:eastAsia="方正黑体_GBK" w:cs="方正黑体_GBK"/>
          <w:b/>
          <w:caps w:val="0"/>
          <w:smallCaps w:val="0"/>
          <w:snapToGrid/>
          <w:vanish w:val="0"/>
          <w:color w:val="auto"/>
          <w:sz w:val="15"/>
          <w:szCs w:val="15"/>
          <w:vertAlign w:val="baseline"/>
        </w:rPr>
        <w:t>投资须谨慎。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第二条  名词释义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在本理财产品说明书中，除非上下文另有明确约定，下列用词将具有如下含义：</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参与主体用语</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1.南银理财/管理人/</w:t>
      </w:r>
      <w:r>
        <w:rPr>
          <w:rFonts w:hint="eastAsia" w:ascii="方正黑体_GBK" w:hAnsi="方正黑体_GBK" w:eastAsia="方正黑体_GBK" w:cs="方正黑体_GBK"/>
          <w:color w:val="3D3D3D"/>
          <w:kern w:val="0"/>
          <w:sz w:val="15"/>
          <w:szCs w:val="15"/>
          <w:highlight w:val="none"/>
          <w:lang w:val="en-US" w:eastAsia="zh-CN"/>
        </w:rPr>
        <w:t>产品管理人/</w:t>
      </w:r>
      <w:r>
        <w:rPr>
          <w:rFonts w:hint="eastAsia" w:ascii="方正黑体_GBK" w:hAnsi="方正黑体_GBK" w:eastAsia="方正黑体_GBK" w:cs="方正黑体_GBK"/>
          <w:color w:val="3D3D3D"/>
          <w:kern w:val="0"/>
          <w:sz w:val="15"/>
          <w:szCs w:val="15"/>
          <w:highlight w:val="none"/>
        </w:rPr>
        <w:t>理财产品管理人：指南银理财有限责任公司。</w:t>
      </w:r>
    </w:p>
    <w:p>
      <w:pPr>
        <w:pStyle w:val="19"/>
        <w:keepNext w:val="0"/>
        <w:keepLines w:val="0"/>
        <w:pageBreakBefore w:val="0"/>
        <w:widowControl/>
        <w:suppressLineNumbers w:val="0"/>
        <w:tabs>
          <w:tab w:val="left" w:pos="567"/>
        </w:tabs>
        <w:suppressAutoHyphens w:val="0"/>
        <w:spacing w:line="200" w:lineRule="exact"/>
        <w:ind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lang w:eastAsia="zh-CN"/>
        </w:rPr>
        <w:t xml:space="preserve">     2.销售</w:t>
      </w:r>
      <w:r>
        <w:rPr>
          <w:rFonts w:hint="eastAsia" w:ascii="方正黑体_GBK" w:hAnsi="方正黑体_GBK" w:eastAsia="方正黑体_GBK" w:cs="方正黑体_GBK"/>
          <w:color w:val="3D3D3D"/>
          <w:kern w:val="0"/>
          <w:sz w:val="15"/>
          <w:szCs w:val="15"/>
          <w:highlight w:val="none"/>
        </w:rPr>
        <w:t>机构：指</w:t>
      </w:r>
      <w:r>
        <w:rPr>
          <w:rFonts w:hint="eastAsia" w:ascii="方正黑体_GBK" w:hAnsi="方正黑体_GBK" w:eastAsia="方正黑体_GBK" w:cs="方正黑体_GBK"/>
          <w:color w:val="3D3D3D"/>
          <w:kern w:val="0"/>
          <w:sz w:val="15"/>
          <w:szCs w:val="15"/>
          <w:highlight w:val="none"/>
          <w:lang w:eastAsia="zh-CN"/>
        </w:rPr>
        <w:t>本</w:t>
      </w:r>
      <w:r>
        <w:rPr>
          <w:rFonts w:hint="eastAsia" w:ascii="方正黑体_GBK" w:hAnsi="方正黑体_GBK" w:eastAsia="方正黑体_GBK" w:cs="方正黑体_GBK"/>
          <w:color w:val="3D3D3D"/>
          <w:kern w:val="0"/>
          <w:sz w:val="15"/>
          <w:szCs w:val="15"/>
          <w:highlight w:val="none"/>
        </w:rPr>
        <w:t>理财产品的销售机构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lang w:val="en-US" w:eastAsia="zh-CN"/>
        </w:rPr>
        <w:t>包括</w:t>
      </w:r>
      <w:r>
        <w:rPr>
          <w:rFonts w:hint="eastAsia" w:ascii="方正黑体_GBK" w:hAnsi="方正黑体_GBK" w:eastAsia="方正黑体_GBK" w:cs="方正黑体_GBK"/>
          <w:color w:val="3D3D3D"/>
          <w:kern w:val="0"/>
          <w:sz w:val="15"/>
          <w:szCs w:val="15"/>
          <w:highlight w:val="none"/>
        </w:rPr>
        <w:t>销售本公司发行理财产品的理财公司</w:t>
      </w:r>
      <w:r>
        <w:rPr>
          <w:rFonts w:hint="eastAsia" w:ascii="方正黑体_GBK" w:hAnsi="方正黑体_GBK" w:eastAsia="方正黑体_GBK" w:cs="方正黑体_GBK"/>
          <w:color w:val="3D3D3D"/>
          <w:kern w:val="0"/>
          <w:sz w:val="15"/>
          <w:szCs w:val="15"/>
          <w:highlight w:val="none"/>
          <w:lang w:val="en-US" w:eastAsia="zh-CN"/>
        </w:rPr>
        <w:t>即南银理财，以及</w:t>
      </w:r>
      <w:r>
        <w:rPr>
          <w:rFonts w:hint="eastAsia" w:ascii="方正黑体_GBK" w:hAnsi="方正黑体_GBK" w:eastAsia="方正黑体_GBK" w:cs="方正黑体_GBK"/>
          <w:color w:val="3D3D3D"/>
          <w:kern w:val="0"/>
          <w:sz w:val="15"/>
          <w:szCs w:val="15"/>
          <w:highlight w:val="none"/>
        </w:rPr>
        <w:t>接受</w:t>
      </w:r>
      <w:r>
        <w:rPr>
          <w:rFonts w:hint="eastAsia" w:ascii="方正黑体_GBK" w:hAnsi="方正黑体_GBK" w:eastAsia="方正黑体_GBK" w:cs="方正黑体_GBK"/>
          <w:color w:val="3D3D3D"/>
          <w:kern w:val="0"/>
          <w:sz w:val="15"/>
          <w:szCs w:val="15"/>
          <w:highlight w:val="none"/>
          <w:lang w:val="en-US" w:eastAsia="zh-CN"/>
        </w:rPr>
        <w:t>南银理财</w:t>
      </w:r>
      <w:r>
        <w:rPr>
          <w:rFonts w:hint="eastAsia" w:ascii="方正黑体_GBK" w:hAnsi="方正黑体_GBK" w:eastAsia="方正黑体_GBK" w:cs="方正黑体_GBK"/>
          <w:color w:val="3D3D3D"/>
          <w:kern w:val="0"/>
          <w:sz w:val="15"/>
          <w:szCs w:val="15"/>
          <w:highlight w:val="none"/>
        </w:rPr>
        <w:t>委托销售其发行理财产品的代理销售机构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lang w:val="en-US" w:eastAsia="zh-CN"/>
        </w:rPr>
        <w:t>代销机构</w:t>
      </w:r>
      <w:r>
        <w:rPr>
          <w:rFonts w:hint="eastAsia" w:ascii="方正黑体_GBK" w:hAnsi="方正黑体_GBK" w:eastAsia="方正黑体_GBK" w:cs="方正黑体_GBK"/>
          <w:color w:val="3D3D3D"/>
          <w:kern w:val="0"/>
          <w:sz w:val="15"/>
          <w:szCs w:val="15"/>
          <w:highlight w:val="none"/>
          <w:lang w:eastAsia="zh-CN"/>
        </w:rPr>
        <w:t>）</w:t>
      </w:r>
      <w:r>
        <w:rPr>
          <w:rFonts w:hint="eastAsia" w:ascii="方正黑体_GBK" w:hAnsi="方正黑体_GBK" w:eastAsia="方正黑体_GBK" w:cs="方正黑体_GBK"/>
          <w:color w:val="3D3D3D"/>
          <w:kern w:val="0"/>
          <w:sz w:val="15"/>
          <w:szCs w:val="15"/>
          <w:highlight w:val="none"/>
        </w:rPr>
        <w:t>。</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3.托管人：指根据管理人委托，对理财产品财产进行托管的机构。</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4.认购/申购人：指在募集期/开放期期间签署本理财产品销售文件并向理财产品管理人交付认购/申购资金的投资者。</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6.投资者：指购买南银理财发行的相关理财产品的符合相关法律法规及监管要求的个人或机构。</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法律文件用语</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1.销售协议书：指本理财产品对应的《理财产品销售协议书》以及对该文件的有效修改或补充。</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s="方正黑体_GBK"/>
          <w:color w:val="3D3D3D"/>
          <w:kern w:val="0"/>
          <w:sz w:val="15"/>
          <w:szCs w:val="15"/>
          <w:highlight w:val="none"/>
          <w:lang w:eastAsia="zh-CN"/>
        </w:rPr>
        <w:t>该文件</w:t>
      </w:r>
      <w:r>
        <w:rPr>
          <w:rFonts w:hint="eastAsia" w:ascii="方正黑体_GBK" w:hAnsi="方正黑体_GBK" w:eastAsia="方正黑体_GBK" w:cs="方正黑体_GBK"/>
          <w:color w:val="3D3D3D"/>
          <w:kern w:val="0"/>
          <w:sz w:val="15"/>
          <w:szCs w:val="15"/>
          <w:highlight w:val="none"/>
        </w:rPr>
        <w:t>的有效修改或补充。</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3.风险揭示书：指本理财产品对应的《理财产品风险揭示书》以及对该文件的有效修改或补充。</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4.投资者权益须知：指本理财产品对应的《投资者权益须知》以及对该文件的有效修改或补充。</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5.投资协议书：指本理财产品对应的《理财产品投资协议书》以及对该文件的有效修改或补充。</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6.销售文件：指本理财产品对应的产品说明书、风险揭示书、投资者权益须知、销售协议书、投资协议书等。</w:t>
      </w:r>
      <w:r>
        <w:rPr>
          <w:rFonts w:hint="eastAsia" w:ascii="方正黑体_GBK" w:hAnsi="方正黑体_GBK" w:eastAsia="方正黑体_GBK" w:cs="方正黑体_GBK"/>
          <w:bCs/>
          <w:color w:val="3D3D3D"/>
          <w:kern w:val="0"/>
          <w:sz w:val="15"/>
          <w:szCs w:val="15"/>
          <w:highlight w:val="none"/>
        </w:rPr>
        <w:t>上述文件共同构成本理财产品完整且不可分割的销售文件。</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期间与日期</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1.募集期：指管理人确定的接受投资者认购本理财产品的起止期限。</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2.开放期：指管理人确定的除募集期外接受投资者申购、赎回本理财产品的起止期限。</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3.提前终止权行使日：指管理人行使提前终止权的日期，即本理财产品被提前终止、开始停止计算收益的日期。</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5.认购、申购、赎回确认日：指投资者认购、申购、赎回理财产品最终确认日期。</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7.产品存续期：指理财产品成立至终止的期间。</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8.名义到期日：指在管理人未对本理财产品提前终止或延期终止的情况下本理财产品的到期日期。</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10.工作日：指除国家法定节假日和休息日（包括周六、周日）外的日期。</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11.交易日：指上海证券交易所和深圳证券交易所的正常开盘交易日。</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12.支付日：指根据本理财产品说明书约定向销售文件约定的投资者授权指定账户划付理财产品资金之日。</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 xml:space="preserve"> 13.赎回或到期清算分配资金到账日：指赎回或到期清算分配资金划入销售文件约定的投资者授权指定账户之日。</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理财产品用语</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1.本理财产品/理财产品： </w:t>
      </w:r>
      <w:r>
        <w:rPr>
          <w:rFonts w:hint="eastAsia" w:ascii="方正黑体_GBK" w:hAnsi="方正黑体_GBK" w:eastAsia="方正黑体_GBK" w:cs="方正黑体_GBK"/>
          <w:b/>
          <w:bCs/>
          <w:color w:val="3D3D3D"/>
          <w:kern w:val="0"/>
          <w:sz w:val="15"/>
          <w:szCs w:val="15"/>
          <w:highlight w:val="none"/>
        </w:rPr>
        <w:t>南银理财鼎瑞悦稳（最低持有7天）公募人民币理财产品</w:t>
      </w:r>
      <w:r>
        <w:rPr>
          <w:rFonts w:hint="eastAsia" w:ascii="方正黑体_GBK" w:hAnsi="方正黑体_GBK" w:eastAsia="方正黑体_GBK" w:cs="方正黑体_GBK"/>
          <w:color w:val="3D3D3D"/>
          <w:kern w:val="0"/>
          <w:sz w:val="15"/>
          <w:szCs w:val="15"/>
          <w:highlight w:val="none"/>
        </w:rPr>
        <w:t>。</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3.</w:t>
      </w:r>
      <w:r>
        <w:rPr>
          <w:rFonts w:hint="eastAsia" w:ascii="方正黑体_GBK" w:hAnsi="方正黑体_GBK" w:eastAsia="方正黑体_GBK" w:cs="方正黑体_GBK"/>
          <w:color w:val="3D3D3D"/>
          <w:kern w:val="0"/>
          <w:sz w:val="15"/>
          <w:szCs w:val="15"/>
          <w:highlight w:val="none"/>
        </w:rPr>
        <w:t>投资收益：指投资者投资理财产品份额获得的投资收益，该收益为其获得分配的全部理财产品赎回资金或到期清算分配资金中扣除投资本金的部分。</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4.</w:t>
      </w:r>
      <w:r>
        <w:rPr>
          <w:rFonts w:hint="eastAsia" w:ascii="方正黑体_GBK" w:hAnsi="方正黑体_GBK" w:eastAsia="方正黑体_GBK" w:cs="方正黑体_GBK"/>
          <w:color w:val="3D3D3D"/>
          <w:kern w:val="0"/>
          <w:sz w:val="15"/>
          <w:szCs w:val="15"/>
          <w:highlight w:val="none"/>
        </w:rPr>
        <w:t>理财产品份额/产品份额：指投资者持有本理财产品的单位数额。投资者基于其所持有的理财产品单位数额享有理财产品利益、承担理财产品风险。</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5.</w:t>
      </w:r>
      <w:r>
        <w:rPr>
          <w:rFonts w:hint="eastAsia" w:ascii="方正黑体_GBK" w:hAnsi="方正黑体_GBK" w:eastAsia="方正黑体_GBK" w:cs="方正黑体_GBK"/>
          <w:color w:val="3D3D3D"/>
          <w:kern w:val="0"/>
          <w:sz w:val="15"/>
          <w:szCs w:val="15"/>
          <w:highlight w:val="none"/>
        </w:rPr>
        <w:t>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6.</w:t>
      </w:r>
      <w:r>
        <w:rPr>
          <w:rFonts w:hint="eastAsia" w:ascii="方正黑体_GBK" w:hAnsi="方正黑体_GBK" w:eastAsia="方正黑体_GBK" w:cs="方正黑体_GBK"/>
          <w:color w:val="3D3D3D"/>
          <w:kern w:val="0"/>
          <w:sz w:val="15"/>
          <w:szCs w:val="15"/>
          <w:highlight w:val="none"/>
        </w:rPr>
        <w:t>单位净值/产品每份额净值：指理财产品每单位份额的净值，即每1份理财产品份额以人民币计价的价格。产品份额净值=产品资产净值/产品总份额。投资者按该份额净值进行理财产品认购、申购和赎回、获得到期/终止时分配。产品份额净值按去尾法保留</w:t>
      </w:r>
      <w:r>
        <w:rPr>
          <w:rFonts w:hint="eastAsia" w:ascii="方正黑体_GBK" w:hAnsi="方正黑体_GBK" w:eastAsia="方正黑体_GBK" w:cs="方正黑体_GBK"/>
          <w:color w:val="3D3D3D"/>
          <w:kern w:val="0"/>
          <w:sz w:val="15"/>
          <w:szCs w:val="15"/>
          <w:highlight w:val="none"/>
          <w:lang w:val="en-US" w:eastAsia="zh-CN"/>
        </w:rPr>
        <w:t>6</w:t>
      </w:r>
      <w:r>
        <w:rPr>
          <w:rFonts w:hint="eastAsia" w:ascii="方正黑体_GBK" w:hAnsi="方正黑体_GBK" w:eastAsia="方正黑体_GBK" w:cs="方正黑体_GBK"/>
          <w:color w:val="3D3D3D"/>
          <w:kern w:val="0"/>
          <w:sz w:val="15"/>
          <w:szCs w:val="15"/>
          <w:highlight w:val="none"/>
        </w:rPr>
        <w:t>位小数。</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7.</w:t>
      </w:r>
      <w:r>
        <w:rPr>
          <w:rFonts w:hint="eastAsia" w:ascii="方正黑体_GBK" w:hAnsi="方正黑体_GBK" w:eastAsia="方正黑体_GBK" w:cs="方正黑体_GBK"/>
          <w:color w:val="3D3D3D"/>
          <w:kern w:val="0"/>
          <w:sz w:val="15"/>
          <w:szCs w:val="15"/>
          <w:highlight w:val="none"/>
          <w:lang w:eastAsia="zh-CN"/>
        </w:rPr>
        <w:t>累计净值：</w:t>
      </w:r>
      <w:r>
        <w:rPr>
          <w:rFonts w:hint="eastAsia" w:ascii="方正黑体_GBK" w:hAnsi="方正黑体_GBK" w:eastAsia="方正黑体_GBK" w:cs="方正黑体_GBK"/>
          <w:color w:val="3D3D3D"/>
          <w:kern w:val="0"/>
          <w:sz w:val="15"/>
          <w:szCs w:val="15"/>
          <w:highlight w:val="none"/>
          <w:lang w:val="en-US" w:eastAsia="zh-CN"/>
        </w:rPr>
        <w:t xml:space="preserve"> </w:t>
      </w:r>
      <w:r>
        <w:rPr>
          <w:rFonts w:hint="eastAsia" w:ascii="方正黑体_GBK" w:hAnsi="方正黑体_GBK" w:eastAsia="方正黑体_GBK" w:cs="方正黑体_GBK"/>
          <w:color w:val="3D3D3D"/>
          <w:kern w:val="0"/>
          <w:sz w:val="15"/>
          <w:szCs w:val="15"/>
          <w:highlight w:val="none"/>
        </w:rPr>
        <w:t>指产品单位净值与产品成立</w:t>
      </w:r>
      <w:r>
        <w:rPr>
          <w:rFonts w:hint="eastAsia" w:ascii="方正黑体_GBK" w:hAnsi="方正黑体_GBK" w:eastAsia="方正黑体_GBK" w:cs="方正黑体_GBK"/>
          <w:color w:val="3D3D3D"/>
          <w:kern w:val="0"/>
          <w:sz w:val="15"/>
          <w:szCs w:val="15"/>
          <w:highlight w:val="none"/>
          <w:lang w:eastAsia="zh-CN"/>
        </w:rPr>
        <w:t>以来</w:t>
      </w:r>
      <w:r>
        <w:rPr>
          <w:rFonts w:hint="eastAsia" w:ascii="方正黑体_GBK" w:hAnsi="方正黑体_GBK" w:eastAsia="方正黑体_GBK" w:cs="方正黑体_GBK"/>
          <w:color w:val="3D3D3D"/>
          <w:kern w:val="0"/>
          <w:sz w:val="15"/>
          <w:szCs w:val="15"/>
          <w:highlight w:val="none"/>
        </w:rPr>
        <w:t>累计单位分红金额之和</w:t>
      </w:r>
      <w:r>
        <w:rPr>
          <w:rFonts w:hint="eastAsia" w:ascii="方正黑体_GBK" w:hAnsi="方正黑体_GBK" w:eastAsia="方正黑体_GBK" w:cs="方正黑体_GBK"/>
          <w:color w:val="3D3D3D"/>
          <w:kern w:val="0"/>
          <w:sz w:val="15"/>
          <w:szCs w:val="15"/>
          <w:highlight w:val="none"/>
          <w:lang w:eastAsia="zh-CN"/>
        </w:rPr>
        <w:t>。</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8.</w:t>
      </w:r>
      <w:r>
        <w:rPr>
          <w:rFonts w:hint="eastAsia" w:ascii="方正黑体_GBK" w:hAnsi="方正黑体_GBK" w:eastAsia="方正黑体_GBK" w:cs="方正黑体_GBK"/>
          <w:color w:val="3D3D3D"/>
          <w:kern w:val="0"/>
          <w:sz w:val="15"/>
          <w:szCs w:val="15"/>
          <w:highlight w:val="none"/>
        </w:rPr>
        <w:t>理财产品估值/估值：指计算评估理财产品资产以确定理财产品份额单位净值的过程。</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9.</w:t>
      </w:r>
      <w:r>
        <w:rPr>
          <w:rFonts w:hint="eastAsia" w:ascii="方正黑体_GBK" w:hAnsi="方正黑体_GBK" w:eastAsia="方正黑体_GBK" w:cs="方正黑体_GBK"/>
          <w:color w:val="3D3D3D"/>
          <w:kern w:val="0"/>
          <w:sz w:val="15"/>
          <w:szCs w:val="15"/>
          <w:highlight w:val="none"/>
        </w:rPr>
        <w:t>业绩比较基准：指管理人基于产品性质、投资策略、过往投资经验及对产品存续期投资市场波动的预判而对本理财产品所设定的投资目标，业绩比较基准不代表本理财产品的未来表现和实际收益，不构成管理人对本理财产品收益的承诺。</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10.</w:t>
      </w:r>
      <w:r>
        <w:rPr>
          <w:rFonts w:hint="eastAsia" w:ascii="方正黑体_GBK" w:hAnsi="方正黑体_GBK" w:eastAsia="方正黑体_GBK" w:cs="方正黑体_GBK"/>
          <w:color w:val="3D3D3D"/>
          <w:kern w:val="0"/>
          <w:sz w:val="15"/>
          <w:szCs w:val="15"/>
          <w:highlight w:val="none"/>
        </w:rPr>
        <w:t>认购：指投资者根据产品说明书约定在募集期内申请购买本理财产品的理财产品份额的行为。</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11.</w:t>
      </w:r>
      <w:r>
        <w:rPr>
          <w:rFonts w:hint="eastAsia" w:ascii="方正黑体_GBK" w:hAnsi="方正黑体_GBK" w:eastAsia="方正黑体_GBK" w:cs="方正黑体_GBK"/>
          <w:color w:val="3D3D3D"/>
          <w:kern w:val="0"/>
          <w:sz w:val="15"/>
          <w:szCs w:val="15"/>
          <w:highlight w:val="none"/>
        </w:rPr>
        <w:t>申购、赎回申请：指在理财产品的开放期内，投资者向理财产品管理人提出申请对理财产品份额进行购买或卖出的行为。</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12.</w:t>
      </w:r>
      <w:r>
        <w:rPr>
          <w:rFonts w:hint="eastAsia" w:ascii="方正黑体_GBK" w:hAnsi="方正黑体_GBK" w:eastAsia="方正黑体_GBK" w:cs="方正黑体_GBK"/>
          <w:color w:val="3D3D3D"/>
          <w:kern w:val="0"/>
          <w:sz w:val="15"/>
          <w:szCs w:val="15"/>
          <w:highlight w:val="none"/>
        </w:rPr>
        <w:t>提前终止/延期终止权：指在本理财产品存续期内，管理人单方面根据本理财产品销售文件的约定提前终止/延期终止本理财产品的权利。</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13.</w:t>
      </w:r>
      <w:r>
        <w:rPr>
          <w:rFonts w:hint="eastAsia" w:ascii="方正黑体_GBK" w:hAnsi="方正黑体_GBK" w:eastAsia="方正黑体_GBK" w:cs="方正黑体_GBK"/>
          <w:color w:val="3D3D3D"/>
          <w:kern w:val="0"/>
          <w:sz w:val="15"/>
          <w:szCs w:val="15"/>
          <w:highlight w:val="none"/>
        </w:rPr>
        <w:t>授权指定账户：指投资者用于支付理财产品的认购或申购资金，并用于接收理财产品分红或赎回或到期清算分配款项的银行账户。</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14.</w:t>
      </w:r>
      <w:r>
        <w:rPr>
          <w:rFonts w:hint="eastAsia" w:ascii="方正黑体_GBK" w:hAnsi="方正黑体_GBK" w:eastAsia="方正黑体_GBK" w:cs="方正黑体_GBK"/>
          <w:color w:val="3D3D3D"/>
          <w:kern w:val="0"/>
          <w:sz w:val="15"/>
          <w:szCs w:val="15"/>
          <w:highlight w:val="none"/>
        </w:rPr>
        <w:t>固定收益类理财产品：指投资于存款、债券等债权类资产的比例不低于80%的理财产品。</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15.</w:t>
      </w:r>
      <w:r>
        <w:rPr>
          <w:rFonts w:hint="eastAsia" w:ascii="方正黑体_GBK" w:hAnsi="方正黑体_GBK" w:eastAsia="方正黑体_GBK" w:cs="方正黑体_GBK"/>
          <w:color w:val="3D3D3D"/>
          <w:kern w:val="0"/>
          <w:sz w:val="15"/>
          <w:szCs w:val="15"/>
          <w:highlight w:val="none"/>
        </w:rPr>
        <w:t>权益类理财产品：指投资于权益类资产的比例不低于80%的理财产品。</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16.</w:t>
      </w:r>
      <w:r>
        <w:rPr>
          <w:rFonts w:hint="eastAsia" w:ascii="方正黑体_GBK" w:hAnsi="方正黑体_GBK" w:eastAsia="方正黑体_GBK" w:cs="方正黑体_GBK"/>
          <w:color w:val="3D3D3D"/>
          <w:kern w:val="0"/>
          <w:sz w:val="15"/>
          <w:szCs w:val="15"/>
          <w:highlight w:val="none"/>
        </w:rPr>
        <w:t>商品及金融衍生品类理财产品：指投资于商品及金融衍生品的比例不低于80%的理财产品。</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17.</w:t>
      </w:r>
      <w:r>
        <w:rPr>
          <w:rFonts w:hint="eastAsia" w:ascii="方正黑体_GBK" w:hAnsi="方正黑体_GBK" w:eastAsia="方正黑体_GBK" w:cs="方正黑体_GBK"/>
          <w:color w:val="3D3D3D"/>
          <w:kern w:val="0"/>
          <w:sz w:val="15"/>
          <w:szCs w:val="15"/>
          <w:highlight w:val="none"/>
        </w:rPr>
        <w:t>混合类理财产品：指投资于债权类资产、权益类资产、商品及金融衍生品类资产且任一资产的投资比例均未达到80%的理财产品。</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18.</w:t>
      </w:r>
      <w:r>
        <w:rPr>
          <w:rFonts w:hint="eastAsia" w:ascii="方正黑体_GBK" w:hAnsi="方正黑体_GBK" w:eastAsia="方正黑体_GBK" w:cs="方正黑体_GBK"/>
          <w:color w:val="3D3D3D"/>
          <w:kern w:val="0"/>
          <w:sz w:val="15"/>
          <w:szCs w:val="15"/>
          <w:highlight w:val="none"/>
        </w:rPr>
        <w:t>公募理财产品：指面向不特定社会公众公开发行的理财产品。</w:t>
      </w:r>
    </w:p>
    <w:p>
      <w:pPr>
        <w:pStyle w:val="19"/>
        <w:keepNext w:val="0"/>
        <w:keepLines w:val="0"/>
        <w:pageBreakBefore w:val="0"/>
        <w:widowControl/>
        <w:suppressLineNumbers w:val="0"/>
        <w:shd w:val="clear" w:color="auto" w:fill="auto"/>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w:t>
      </w:r>
      <w:r>
        <w:rPr>
          <w:rFonts w:hint="eastAsia" w:ascii="方正黑体_GBK" w:hAnsi="方正黑体_GBK" w:eastAsia="方正黑体_GBK" w:cs="方正黑体_GBK"/>
          <w:color w:val="3D3D3D"/>
          <w:kern w:val="0"/>
          <w:sz w:val="15"/>
          <w:szCs w:val="15"/>
          <w:highlight w:val="none"/>
          <w:lang w:val="en-US" w:eastAsia="zh-CN"/>
        </w:rPr>
        <w:t>19.</w:t>
      </w:r>
      <w:r>
        <w:rPr>
          <w:rFonts w:hint="eastAsia" w:ascii="方正黑体_GBK" w:hAnsi="方正黑体_GBK" w:eastAsia="方正黑体_GBK" w:cs="方正黑体_GBK"/>
          <w:color w:val="3D3D3D"/>
          <w:kern w:val="0"/>
          <w:sz w:val="15"/>
          <w:szCs w:val="15"/>
          <w:highlight w:val="none"/>
        </w:rPr>
        <w:t>私募理财产品：指面向合格投资者非公开发行的理财产品。</w:t>
      </w:r>
    </w:p>
    <w:p>
      <w:pPr>
        <w:pStyle w:val="19"/>
        <w:keepNext w:val="0"/>
        <w:keepLines w:val="0"/>
        <w:pageBreakBefore w:val="0"/>
        <w:widowControl/>
        <w:suppressLineNumbers w:val="0"/>
        <w:tabs>
          <w:tab w:val="left" w:pos="567"/>
        </w:tabs>
        <w:suppressAutoHyphens w:val="0"/>
        <w:spacing w:line="200" w:lineRule="exact"/>
        <w:ind w:left="289" w:firstLine="0"/>
        <w:outlineLvl w:val="1"/>
        <w:rPr>
          <w:rFonts w:hint="eastAsia" w:ascii="方正黑体_GBK" w:hAnsi="方正黑体_GBK" w:eastAsia="方正黑体_GBK" w:cs="方正黑体_GBK"/>
          <w:color w:val="3D3D3D"/>
          <w:kern w:val="0"/>
          <w:sz w:val="15"/>
          <w:szCs w:val="15"/>
        </w:rPr>
      </w:pP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其他</w:t>
      </w:r>
    </w:p>
    <w:p>
      <w:pPr>
        <w:pStyle w:val="19"/>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32"/>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自然灾害、地震、台风、海啸、洪水、火灾、停电、突发性公共卫生事件；</w:t>
      </w:r>
    </w:p>
    <w:p>
      <w:pPr>
        <w:pStyle w:val="32"/>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罢工、内战、战争、军事行动、任何种类的恐怖活动、暴动、公众示威或抗议；</w:t>
      </w:r>
    </w:p>
    <w:p>
      <w:pPr>
        <w:pStyle w:val="32"/>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新的适用法律或国家政策的颁布或实施、对原适用法律或国家政策的修改；</w:t>
      </w:r>
    </w:p>
    <w:p>
      <w:pPr>
        <w:pStyle w:val="32"/>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任何政府机关或其他机关的行为（不论是在法律上或是在事实上）、法律、法规、条例、规则、规定、裁决、命令或指令（包括国有化或对外限制、外汇管制）、诉讼或威胁；</w:t>
      </w:r>
    </w:p>
    <w:p>
      <w:pPr>
        <w:pStyle w:val="32"/>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中国境内或全球金融外汇市场发生致使甲方无法进行货币兑换、划转等的异常变化；</w:t>
      </w:r>
    </w:p>
    <w:p>
      <w:pPr>
        <w:pStyle w:val="32"/>
        <w:keepNext w:val="0"/>
        <w:keepLines w:val="0"/>
        <w:pageBreakBefore w:val="0"/>
        <w:widowControl/>
        <w:numPr>
          <w:ilvl w:val="0"/>
          <w:numId w:val="2"/>
        </w:numPr>
        <w:suppressLineNumbers w:val="0"/>
        <w:tabs>
          <w:tab w:val="left" w:pos="567"/>
        </w:tabs>
        <w:suppressAutoHyphens w:val="0"/>
        <w:spacing w:line="200" w:lineRule="exact"/>
        <w:ind w:firstLineChars="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19"/>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19"/>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highlight w:val="none"/>
        </w:rPr>
      </w:pPr>
      <w:r>
        <w:rPr>
          <w:rFonts w:hint="eastAsia" w:ascii="方正黑体_GBK" w:hAnsi="方正黑体_GBK" w:eastAsia="方正黑体_GBK" w:cs="方正黑体_GBK"/>
          <w:color w:val="3D3D3D"/>
          <w:kern w:val="0"/>
          <w:sz w:val="15"/>
          <w:szCs w:val="15"/>
          <w:highlight w:val="none"/>
        </w:rPr>
        <w:t xml:space="preserve"> 3.元：指人民币元。</w:t>
      </w:r>
    </w:p>
    <w:p>
      <w:pPr>
        <w:pStyle w:val="19"/>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第三条  情景示例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b w:val="0"/>
          <w:bCs w:val="0"/>
          <w:vanish w:val="0"/>
          <w:color w:val="auto"/>
          <w:kern w:val="0"/>
          <w:sz w:val="15"/>
          <w:szCs w:val="15"/>
        </w:rPr>
      </w:pPr>
      <w:r>
        <w:rPr>
          <w:rFonts w:hint="eastAsia" w:ascii="方正黑体_GBK" w:hAnsi="方正黑体_GBK" w:eastAsia="方正黑体_GBK" w:cs="方正黑体_GBK"/>
          <w:b w:val="0"/>
          <w:bCs w:val="0"/>
          <w:vanish w:val="0"/>
          <w:color w:val="auto"/>
          <w:kern w:val="0"/>
          <w:sz w:val="15"/>
          <w:szCs w:val="15"/>
        </w:rPr>
        <w:t>假设：投资者认购本理财产品10万元，确认认购的产品净值为1.0000元，折算份额100,000份，该份额在2023年8月</w:t>
      </w:r>
      <w:r>
        <w:rPr>
          <w:rFonts w:hint="eastAsia" w:ascii="方正黑体_GBK" w:hAnsi="方正黑体_GBK" w:eastAsia="方正黑体_GBK" w:cs="方正黑体_GBK"/>
          <w:b w:val="0"/>
          <w:bCs w:val="0"/>
          <w:vanish w:val="0"/>
          <w:color w:val="auto"/>
          <w:kern w:val="0"/>
          <w:sz w:val="15"/>
          <w:szCs w:val="15"/>
          <w:lang w:val="en-US" w:eastAsia="zh-CN"/>
        </w:rPr>
        <w:t>28</w:t>
      </w:r>
      <w:r>
        <w:rPr>
          <w:rFonts w:hint="eastAsia" w:ascii="方正黑体_GBK" w:hAnsi="方正黑体_GBK" w:eastAsia="方正黑体_GBK" w:cs="方正黑体_GBK"/>
          <w:b w:val="0"/>
          <w:bCs w:val="0"/>
          <w:vanish w:val="0"/>
          <w:color w:val="auto"/>
          <w:kern w:val="0"/>
          <w:sz w:val="15"/>
          <w:szCs w:val="15"/>
        </w:rPr>
        <w:t>日及之前不可赎回。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b w:val="0"/>
          <w:bCs w:val="0"/>
          <w:vanish w:val="0"/>
          <w:color w:val="auto"/>
          <w:kern w:val="0"/>
          <w:sz w:val="15"/>
          <w:szCs w:val="15"/>
        </w:rPr>
      </w:pPr>
      <w:r>
        <w:rPr>
          <w:rFonts w:hint="eastAsia" w:ascii="方正黑体_GBK" w:hAnsi="方正黑体_GBK" w:eastAsia="方正黑体_GBK" w:cs="方正黑体_GBK"/>
          <w:b w:val="0"/>
          <w:bCs w:val="0"/>
          <w:vanish w:val="0"/>
          <w:color w:val="auto"/>
          <w:kern w:val="0"/>
          <w:sz w:val="15"/>
          <w:szCs w:val="15"/>
        </w:rPr>
        <w:t>情景示例一：投资者于2023年</w:t>
      </w:r>
      <w:r>
        <w:rPr>
          <w:rFonts w:hint="eastAsia" w:ascii="方正黑体_GBK" w:hAnsi="方正黑体_GBK" w:eastAsia="方正黑体_GBK" w:cs="方正黑体_GBK"/>
          <w:b w:val="0"/>
          <w:bCs w:val="0"/>
          <w:vanish w:val="0"/>
          <w:color w:val="auto"/>
          <w:kern w:val="0"/>
          <w:sz w:val="15"/>
          <w:szCs w:val="15"/>
          <w:lang w:val="en-US" w:eastAsia="zh-CN"/>
        </w:rPr>
        <w:t>9</w:t>
      </w:r>
      <w:r>
        <w:rPr>
          <w:rFonts w:hint="eastAsia" w:ascii="方正黑体_GBK" w:hAnsi="方正黑体_GBK" w:eastAsia="方正黑体_GBK" w:cs="方正黑体_GBK"/>
          <w:b w:val="0"/>
          <w:bCs w:val="0"/>
          <w:vanish w:val="0"/>
          <w:color w:val="auto"/>
          <w:kern w:val="0"/>
          <w:sz w:val="15"/>
          <w:szCs w:val="15"/>
        </w:rPr>
        <w:t>月</w:t>
      </w:r>
      <w:r>
        <w:rPr>
          <w:rFonts w:hint="eastAsia" w:ascii="方正黑体_GBK" w:hAnsi="方正黑体_GBK" w:eastAsia="方正黑体_GBK" w:cs="方正黑体_GBK"/>
          <w:b w:val="0"/>
          <w:bCs w:val="0"/>
          <w:vanish w:val="0"/>
          <w:color w:val="auto"/>
          <w:kern w:val="0"/>
          <w:sz w:val="15"/>
          <w:szCs w:val="15"/>
          <w:lang w:val="en-US" w:eastAsia="zh-CN"/>
        </w:rPr>
        <w:t>20</w:t>
      </w:r>
      <w:r>
        <w:rPr>
          <w:rFonts w:hint="eastAsia" w:ascii="方正黑体_GBK" w:hAnsi="方正黑体_GBK" w:eastAsia="方正黑体_GBK" w:cs="方正黑体_GBK"/>
          <w:b w:val="0"/>
          <w:bCs w:val="0"/>
          <w:vanish w:val="0"/>
          <w:color w:val="auto"/>
          <w:kern w:val="0"/>
          <w:sz w:val="15"/>
          <w:szCs w:val="15"/>
        </w:rPr>
        <w:t>日10时申请赎回50,000份，赎回确认日产品单位净值折算每份额净值1.0300，则客户在资金到帐日收到赎回资金为51,500元。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b w:val="0"/>
          <w:bCs w:val="0"/>
          <w:vanish w:val="0"/>
          <w:color w:val="auto"/>
          <w:kern w:val="0"/>
          <w:sz w:val="15"/>
          <w:szCs w:val="15"/>
        </w:rPr>
      </w:pPr>
      <w:r>
        <w:rPr>
          <w:rFonts w:hint="eastAsia" w:ascii="方正黑体_GBK" w:hAnsi="方正黑体_GBK" w:eastAsia="方正黑体_GBK" w:cs="方正黑体_GBK"/>
          <w:b w:val="0"/>
          <w:bCs w:val="0"/>
          <w:vanish w:val="0"/>
          <w:color w:val="auto"/>
          <w:kern w:val="0"/>
          <w:sz w:val="15"/>
          <w:szCs w:val="15"/>
        </w:rPr>
        <w:t>情景示例二：投资者于2023年</w:t>
      </w:r>
      <w:r>
        <w:rPr>
          <w:rFonts w:hint="eastAsia" w:ascii="方正黑体_GBK" w:hAnsi="方正黑体_GBK" w:eastAsia="方正黑体_GBK" w:cs="方正黑体_GBK"/>
          <w:b w:val="0"/>
          <w:bCs w:val="0"/>
          <w:vanish w:val="0"/>
          <w:color w:val="auto"/>
          <w:kern w:val="0"/>
          <w:sz w:val="15"/>
          <w:szCs w:val="15"/>
          <w:lang w:val="en-US" w:eastAsia="zh-CN"/>
        </w:rPr>
        <w:t>10</w:t>
      </w:r>
      <w:r>
        <w:rPr>
          <w:rFonts w:hint="eastAsia" w:ascii="方正黑体_GBK" w:hAnsi="方正黑体_GBK" w:eastAsia="方正黑体_GBK" w:cs="方正黑体_GBK"/>
          <w:b w:val="0"/>
          <w:bCs w:val="0"/>
          <w:vanish w:val="0"/>
          <w:color w:val="auto"/>
          <w:kern w:val="0"/>
          <w:sz w:val="15"/>
          <w:szCs w:val="15"/>
        </w:rPr>
        <w:t>月</w:t>
      </w:r>
      <w:r>
        <w:rPr>
          <w:rFonts w:hint="eastAsia" w:ascii="方正黑体_GBK" w:hAnsi="方正黑体_GBK" w:eastAsia="方正黑体_GBK" w:cs="方正黑体_GBK"/>
          <w:b w:val="0"/>
          <w:bCs w:val="0"/>
          <w:vanish w:val="0"/>
          <w:color w:val="auto"/>
          <w:kern w:val="0"/>
          <w:sz w:val="15"/>
          <w:szCs w:val="15"/>
          <w:lang w:val="en-US" w:eastAsia="zh-CN"/>
        </w:rPr>
        <w:t>18</w:t>
      </w:r>
      <w:r>
        <w:rPr>
          <w:rFonts w:hint="eastAsia" w:ascii="方正黑体_GBK" w:hAnsi="方正黑体_GBK" w:eastAsia="方正黑体_GBK" w:cs="方正黑体_GBK"/>
          <w:b w:val="0"/>
          <w:bCs w:val="0"/>
          <w:vanish w:val="0"/>
          <w:color w:val="auto"/>
          <w:kern w:val="0"/>
          <w:sz w:val="15"/>
          <w:szCs w:val="15"/>
        </w:rPr>
        <w:t>日10时申请赎回20,000份，赎回确认日产品单位净值折算每份额净值为0.9700，则客户在资金到帐日收到赎回资金为19,400元。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b w:val="0"/>
          <w:bCs w:val="0"/>
          <w:vanish w:val="0"/>
          <w:color w:val="auto"/>
          <w:kern w:val="0"/>
          <w:sz w:val="15"/>
          <w:szCs w:val="15"/>
        </w:rPr>
      </w:pPr>
      <w:r>
        <w:rPr>
          <w:rFonts w:hint="eastAsia" w:ascii="方正黑体_GBK" w:hAnsi="方正黑体_GBK" w:eastAsia="方正黑体_GBK" w:cs="方正黑体_GBK"/>
          <w:b w:val="0"/>
          <w:bCs w:val="0"/>
          <w:vanish w:val="0"/>
          <w:color w:val="auto"/>
          <w:kern w:val="0"/>
          <w:sz w:val="15"/>
          <w:szCs w:val="15"/>
        </w:rPr>
        <w:t>以上数据为假设情形中的模拟数据，不代表实际收益，投资需谨慎。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vanish w:val="0"/>
          <w:sz w:val="15"/>
          <w:szCs w:val="15"/>
        </w:rPr>
      </w:pPr>
      <w:r>
        <w:rPr>
          <w:rFonts w:hint="eastAsia" w:ascii="方正黑体_GBK" w:hAnsi="方正黑体_GBK" w:eastAsia="方正黑体_GBK" w:cs="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keepNext w:val="0"/>
        <w:keepLines w:val="0"/>
        <w:pageBreakBefore w:val="0"/>
        <w:widowControl/>
        <w:suppressLineNumbers w:val="0"/>
        <w:suppressAutoHyphens w:val="0"/>
        <w:spacing w:line="200" w:lineRule="exact"/>
        <w:ind w:firstLine="301"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l="0"/>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第四</w:t>
      </w:r>
      <w:r>
        <w:rPr>
          <w:rFonts w:hint="eastAsia" w:ascii="方正黑体_GBK" w:hAnsi="方正黑体_GBK" w:eastAsia="方正黑体_GBK" w:cs="方正黑体_GBK"/>
          <w:b/>
          <w:bCs w:val="0"/>
          <w:vanish w:val="0"/>
          <w:color w:val="auto"/>
          <w:kern w:val="0"/>
          <w:sz w:val="15"/>
          <w:szCs w:val="15"/>
        </w:rPr>
        <w:t>条  理财产品估值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（一）估值日</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本理财产品每个工作日进行估值。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（二）估值对象</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本理财产品所拥有的所有资产及负债。</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（三）估值目的</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客观、准确反映理财产品的价值。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（四）估值原则</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估值中坚持公允价值计量原则。</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（五）估值方法</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估值方法中列示的资产品种不代表管理人的实际投向，本理财产品拟投资范围以“投资范围”章节描述为准。</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1.银行存款、回购等货币市场工具</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以本金列示，按商定的利率在实际持有期间内逐日计提。</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2.债券类资产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3.非标准化债权类资产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4.证券投资基金</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5.股权类资产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6.资管计划、信托计划等资产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存在公允价值的，按照公允价值估值，或采用估值技术确定估值，也可采用被委托机构提供的估值或计量报告。</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7.其他资产</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存在公允价值的，按照公允价值估值，或采用估值技术确定估值，也可采用被委托机构提供的估值或计量报告。具体可参考《企业会计准则》以及相关监管政策的规定。</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280"/>
        <w:jc w:val="lef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9.如有新增事项或变更事项，按国家最新规定或管理人最新的约定估值。</w:t>
      </w:r>
    </w:p>
    <w:p>
      <w:pPr>
        <w:spacing w:line="200" w:lineRule="exact"/>
        <w:ind w:firstLine="300"/>
        <w:jc w:val="left"/>
        <w:rPr>
          <w:rFonts w:hint="eastAsia" w:ascii="方正黑体_GBK" w:hAnsi="方正黑体_GBK" w:eastAsia="方正黑体_GBK" w:cs="方正黑体_GBK"/>
        </w:rPr>
      </w:pPr>
      <w:r>
        <w:rPr>
          <w:rFonts w:hint="eastAsia" w:ascii="方正黑体_GBK" w:hAnsi="方正黑体_GBK" w:eastAsia="方正黑体_GBK" w:cs="方正黑体_GBK"/>
          <w:sz w:val="15"/>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（六）估值错误及暂停估值</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当资产估值或份额净值计价错误且给投资者造成损失的，管理人应立即纠正，并采取合理的措施防止损失进一步扩大。</w:t>
      </w:r>
    </w:p>
    <w:p>
      <w:pPr>
        <w:spacing w:line="200" w:lineRule="exact"/>
        <w:ind w:firstLine="300"/>
        <w:jc w:val="both"/>
        <w:rPr>
          <w:rFonts w:hint="eastAsia" w:ascii="方正黑体_GBK" w:hAnsi="方正黑体_GBK" w:eastAsia="方正黑体_GBK" w:cs="方正黑体_GBK"/>
        </w:rPr>
      </w:pPr>
      <w:r>
        <w:rPr>
          <w:rFonts w:hint="eastAsia" w:ascii="方正黑体_GBK" w:hAnsi="方正黑体_GBK" w:eastAsia="方正黑体_GBK" w:cs="方正黑体_GBK"/>
          <w:sz w:val="15"/>
        </w:rPr>
        <w:t>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第五条  信息披露</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信息披露渠道</w:t>
      </w:r>
    </w:p>
    <w:p>
      <w:pPr>
        <w:spacing w:line="200" w:lineRule="exact"/>
        <w:rPr>
          <w:rFonts w:hint="eastAsia" w:ascii="方正黑体_GBK" w:hAnsi="方正黑体_GBK" w:eastAsia="方正黑体_GBK" w:cs="方正黑体_GBK"/>
        </w:rPr>
      </w:pPr>
      <w:r>
        <w:rPr>
          <w:rFonts w:hint="eastAsia" w:ascii="方正黑体_GBK" w:hAnsi="方正黑体_GBK" w:eastAsia="方正黑体_GBK" w:cs="方正黑体_GBK"/>
          <w:color w:val="3D3D3D"/>
          <w:sz w:val="15"/>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信息披露的内容及时间</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 xml:space="preserve"> 净值信息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管理人在本理财产品存续期间每个工作日向投资者披露净值。</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产品发行公告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管理人将在本理财产品成立后5个工作日内披露产品发行公告。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定期报告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每个季度结束之日起15个工作日内、上半年结束之日起60个工作日内、每年结束之日起90个工作日内披露本理财产品的季度、半年和年度报告，如果本理财产品成立不足90个工作日或者剩余存续期不超过90个工作日的，管理人可以不编制产品当期的季度、半年和年度报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到期公告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管理人将在本理财产品终止后5个工作日内披露产品到期公告。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重大事项公告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管理人将在发生可能对本理财产品投资者或者理财产品收益产生重大影响的事件后2个工作日内披露重大事项公告。</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临时公告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理财产品在运作管理过程中，发生可能对理财产品持有人权益产生影响的事项时，管理人将根据法律法规规定及时进行临时信息披露。</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关联交易信息披露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账单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在本理财产品存续期内：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1" w:firstLineChars="20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10.其他公告</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vanish w:val="0"/>
          <w:color w:val="3D3D3D"/>
          <w:kern w:val="0"/>
          <w:sz w:val="15"/>
          <w:szCs w:val="15"/>
        </w:rPr>
        <w:t>理财产品在运作管理过程中，管理人根据实际运作情况发布的其他公告。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第六条  投资者保护提示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您如对销售机构产品推介和销售等服务有任何意见或建议，您可通过拨打销售机构客服电话进行咨询及反馈。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hint="eastAsia" w:ascii="方正黑体_GBK" w:hAnsi="方正黑体_GBK" w:eastAsia="方正黑体_GBK" w:cs="方正黑体_GBK"/>
          <w:vanish w:val="0"/>
          <w:color w:val="3D3D3D"/>
          <w:kern w:val="0"/>
          <w:sz w:val="15"/>
          <w:szCs w:val="15"/>
        </w:rPr>
      </w:pPr>
      <w:r>
        <w:rPr>
          <w:rFonts w:hint="eastAsia" w:ascii="方正黑体_GBK" w:hAnsi="方正黑体_GBK" w:eastAsia="方正黑体_GBK" w:cs="方正黑体_GBK"/>
          <w:vanish w:val="0"/>
          <w:color w:val="3D3D3D"/>
          <w:kern w:val="0"/>
          <w:sz w:val="15"/>
          <w:szCs w:val="15"/>
        </w:rPr>
        <w:t>您如对理财产品设计、投资管理等事项有任何意见或建议，您可通过拨打管理人客服电话进行咨询及反馈。</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vanish w:val="0"/>
          <w:color w:val="3D3D3D"/>
          <w:kern w:val="0"/>
          <w:sz w:val="15"/>
          <w:szCs w:val="15"/>
        </w:rPr>
        <w:t>销售机构及管理人的联系方式详见《投资者权益须知》第八条。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第七条  法律适用和争议解决</w:t>
      </w:r>
    </w:p>
    <w:p>
      <w:pPr>
        <w:keepNext w:val="0"/>
        <w:keepLines w:val="0"/>
        <w:pageBreakBefore w:val="0"/>
        <w:widowControl/>
        <w:suppressLineNumbers w:val="0"/>
        <w:suppressAutoHyphens w:val="0"/>
        <w:spacing w:line="200" w:lineRule="exact"/>
        <w:ind w:firstLine="300"/>
        <w:rPr>
          <w:rFonts w:hint="eastAsia" w:ascii="方正黑体_GBK" w:hAnsi="方正黑体_GBK" w:eastAsia="方正黑体_GBK" w:cs="方正黑体_GBK"/>
          <w:color w:val="3D3D3D"/>
          <w:kern w:val="0"/>
          <w:sz w:val="15"/>
          <w:szCs w:val="15"/>
          <w:lang w:val="en-US" w:eastAsia="zh-CN"/>
        </w:rPr>
      </w:pPr>
      <w:r>
        <w:rPr>
          <w:rFonts w:hint="eastAsia" w:ascii="方正黑体_GBK" w:hAnsi="方正黑体_GBK" w:eastAsia="方正黑体_GBK" w:cs="方正黑体_GBK"/>
          <w:vanish w:val="0"/>
          <w:color w:val="3D3D3D"/>
          <w:kern w:val="0"/>
          <w:sz w:val="15"/>
          <w:szCs w:val="15"/>
        </w:rPr>
        <w:t>理财产品销售文件的订立、生效、履行、解释、修改和终止等事项的适用法律和争议解决方式按照销售协议书的相关约定执行。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第八条  重要提示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请您一定仔细阅读本理财产品销售文件，了解理财产品具体情况，关注投资风险，自主决定是否投资。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w:t>
      </w:r>
      <w:r>
        <w:rPr>
          <w:rFonts w:hint="eastAsia" w:ascii="方正黑体_GBK" w:hAnsi="方正黑体_GBK" w:eastAsia="方正黑体_GBK" w:cs="方正黑体_GBK"/>
          <w:b/>
          <w:bCs/>
          <w:vanish w:val="0"/>
          <w:color w:val="auto"/>
          <w:spacing w:val="0"/>
          <w:kern w:val="0"/>
          <w:sz w:val="15"/>
          <w:szCs w:val="15"/>
        </w:rPr>
        <w:t>在办理与理财产品相关事项需要的情况下向服务机构及其他管理人或销售机构认为必要的业务合作机构提供投资者相关信息。</w:t>
      </w:r>
      <w:r>
        <w:rPr>
          <w:rFonts w:hint="eastAsia" w:ascii="方正黑体_GBK" w:hAnsi="方正黑体_GBK" w:eastAsia="方正黑体_GBK" w:cs="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cs="方正黑体_GBK"/>
          <w:b/>
          <w:bCs/>
          <w:vanish w:val="0"/>
          <w:color w:val="auto"/>
          <w:spacing w:val="0"/>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1" w:firstLineChars="200"/>
        <w:rPr>
          <w:rFonts w:hint="eastAsia" w:ascii="方正黑体_GBK" w:hAnsi="方正黑体_GBK" w:eastAsia="方正黑体_GBK" w:cs="方正黑体_GBK"/>
          <w:b/>
          <w:bCs/>
          <w:vanish w:val="0"/>
          <w:color w:val="auto"/>
          <w:kern w:val="0"/>
          <w:sz w:val="15"/>
          <w:szCs w:val="15"/>
        </w:rPr>
      </w:pPr>
      <w:r>
        <w:rPr>
          <w:rFonts w:hint="eastAsia" w:ascii="方正黑体_GBK" w:hAnsi="方正黑体_GBK" w:eastAsia="方正黑体_GBK" w:cs="方正黑体_GBK"/>
          <w:b/>
          <w:bCs/>
          <w:vanish w:val="0"/>
          <w:color w:val="auto"/>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hint="eastAsia" w:ascii="方正黑体_GBK" w:hAnsi="方正黑体_GBK" w:eastAsia="方正黑体_GBK" w:cs="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hint="eastAsia" w:ascii="方正黑体_GBK" w:hAnsi="方正黑体_GBK" w:eastAsia="方正黑体_GBK" w:cs="方正黑体_GBK"/>
          <w:b/>
          <w:bCs/>
          <w:vanish w:val="0"/>
          <w:color w:val="3D3D3D"/>
          <w:kern w:val="0"/>
          <w:sz w:val="15"/>
          <w:szCs w:val="15"/>
        </w:rPr>
      </w:pPr>
      <w:r>
        <w:rPr>
          <w:rFonts w:hint="eastAsia" w:ascii="方正黑体_GBK" w:hAnsi="方正黑体_GBK" w:eastAsia="方正黑体_GBK" w:cs="方正黑体_GBK"/>
          <w:b/>
          <w:bCs/>
          <w:vanish w:val="0"/>
          <w:color w:val="3D3D3D"/>
          <w:kern w:val="0"/>
          <w:sz w:val="15"/>
          <w:szCs w:val="15"/>
        </w:rPr>
        <w:t>风险提示：</w:t>
      </w:r>
    </w:p>
    <w:p>
      <w:pPr>
        <w:tabs>
          <w:tab w:val="left" w:pos="8033"/>
        </w:tabs>
        <w:ind w:left="0" w:firstLine="0"/>
        <w:jc w:val="left"/>
        <w:rPr>
          <w:rFonts w:hint="eastAsia" w:ascii="方正黑体_GBK" w:hAnsi="方正黑体_GBK" w:eastAsia="方正黑体_GBK" w:cs="方正黑体_GBK"/>
          <w:b/>
          <w:bCs/>
          <w:color w:val="3D3D3D"/>
          <w:kern w:val="0"/>
          <w:sz w:val="15"/>
          <w:szCs w:val="15"/>
        </w:rPr>
      </w:pPr>
      <w:r>
        <w:rPr>
          <w:rFonts w:hint="eastAsia" w:ascii="方正黑体_GBK" w:hAnsi="方正黑体_GBK" w:eastAsia="方正黑体_GBK" w:cs="方正黑体_GBK"/>
          <w:b/>
          <w:bCs/>
          <w:color w:val="3D3D3D"/>
          <w:kern w:val="0"/>
          <w:sz w:val="15"/>
          <w:szCs w:val="15"/>
        </w:rPr>
        <w:t>本理财产品是</w:t>
      </w:r>
      <w:r>
        <w:rPr>
          <w:rFonts w:hint="eastAsia" w:ascii="方正黑体_GBK" w:hAnsi="方正黑体_GBK" w:eastAsia="方正黑体_GBK" w:cs="方正黑体_GBK"/>
          <w:b/>
          <w:bCs/>
          <w:i/>
          <w:iCs/>
          <w:caps w:val="0"/>
          <w:smallCaps w:val="0"/>
          <w:snapToGrid/>
          <w:vanish w:val="0"/>
          <w:color w:val="auto"/>
          <w:kern w:val="0"/>
          <w:sz w:val="20"/>
          <w:szCs w:val="18"/>
          <w:u w:val="single"/>
          <w:vertAlign w:val="baseline"/>
          <w:lang w:val="en-US" w:eastAsia="zh-CN"/>
        </w:rPr>
        <w:t>开放式、固定收益类、公募、净值型</w:t>
      </w:r>
      <w:r>
        <w:rPr>
          <w:rFonts w:hint="eastAsia" w:ascii="方正黑体_GBK" w:hAnsi="方正黑体_GBK" w:eastAsia="方正黑体_GBK" w:cs="方正黑体_GBK"/>
          <w:b/>
          <w:bCs/>
          <w:color w:val="3D3D3D"/>
          <w:kern w:val="0"/>
          <w:sz w:val="15"/>
          <w:szCs w:val="15"/>
        </w:rPr>
        <w:t>理财产品，</w:t>
      </w:r>
      <w:r>
        <w:rPr>
          <w:rFonts w:hint="eastAsia" w:ascii="方正黑体_GBK" w:hAnsi="方正黑体_GBK" w:eastAsia="方正黑体_GBK" w:cs="方正黑体_GBK"/>
          <w:b/>
          <w:bCs/>
          <w:i/>
          <w:iCs/>
          <w:color w:val="3D3D3D"/>
          <w:kern w:val="0"/>
          <w:sz w:val="21"/>
          <w:szCs w:val="21"/>
          <w:u w:val="single"/>
        </w:rPr>
        <w:t>不保证本金和收益</w:t>
      </w:r>
      <w:r>
        <w:rPr>
          <w:rFonts w:hint="eastAsia" w:ascii="方正黑体_GBK" w:hAnsi="方正黑体_GBK" w:eastAsia="方正黑体_GBK" w:cs="方正黑体_GBK"/>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pPr>
        <w:rPr>
          <w:rFonts w:hint="eastAsia" w:ascii="方正黑体_GBK" w:hAnsi="方正黑体_GBK" w:eastAsia="方正黑体_GBK" w:cs="方正黑体_GBK"/>
          <w:b/>
          <w:bCs/>
          <w:color w:val="3D3D3D"/>
          <w:kern w:val="0"/>
          <w:sz w:val="15"/>
          <w:szCs w:val="15"/>
        </w:rPr>
      </w:pPr>
      <w:r>
        <w:rPr>
          <w:rFonts w:hint="eastAsia" w:ascii="方正黑体_GBK" w:hAnsi="方正黑体_GBK" w:eastAsia="方正黑体_GBK" w:cs="方正黑体_GBK"/>
          <w:b/>
          <w:bCs/>
          <w:color w:val="3D3D3D"/>
          <w:kern w:val="0"/>
          <w:sz w:val="15"/>
          <w:szCs w:val="15"/>
        </w:rPr>
        <w:br w:type="page"/>
      </w:r>
    </w:p>
    <w:p>
      <w:pPr>
        <w:spacing w:beforeLines="0" w:afterLines="0"/>
        <w:jc w:val="center"/>
        <w:rPr>
          <w:rFonts w:hint="eastAsia" w:ascii="方正黑体_GBK" w:hAnsi="方正黑体_GBK" w:eastAsia="方正黑体_GBK" w:cs="方正黑体_GBK"/>
          <w:b/>
          <w:sz w:val="24"/>
        </w:rPr>
      </w:pPr>
      <w:r>
        <w:rPr>
          <w:rFonts w:hint="eastAsia" w:ascii="方正黑体_GBK" w:hAnsi="方正黑体_GBK" w:eastAsia="方正黑体_GBK" w:cs="方正黑体_GBK"/>
          <w:b/>
          <w:sz w:val="24"/>
        </w:rPr>
        <w:t>投资者权益须知</w:t>
      </w:r>
    </w:p>
    <w:p>
      <w:pPr>
        <w:spacing w:beforeLines="0" w:afterLines="0"/>
        <w:ind w:firstLine="321" w:firstLineChars="200"/>
        <w:jc w:val="center"/>
        <w:rPr>
          <w:rFonts w:hint="eastAsia" w:ascii="方正黑体_GBK" w:hAnsi="方正黑体_GBK" w:eastAsia="方正黑体_GBK" w:cs="方正黑体_GBK"/>
          <w:b/>
          <w:i/>
          <w:sz w:val="16"/>
          <w:u w:val="single"/>
        </w:rPr>
      </w:pPr>
    </w:p>
    <w:p>
      <w:pPr>
        <w:spacing w:beforeLines="0" w:afterLines="0"/>
        <w:ind w:firstLine="321" w:firstLineChars="200"/>
        <w:jc w:val="center"/>
        <w:rPr>
          <w:rFonts w:hint="eastAsia" w:ascii="方正黑体_GBK" w:hAnsi="方正黑体_GBK" w:eastAsia="方正黑体_GBK" w:cs="方正黑体_GBK"/>
          <w:b/>
          <w:i/>
          <w:sz w:val="16"/>
          <w:u w:val="single"/>
        </w:rPr>
      </w:pPr>
      <w:r>
        <w:rPr>
          <w:rFonts w:hint="eastAsia" w:ascii="方正黑体_GBK" w:hAnsi="方正黑体_GBK" w:eastAsia="方正黑体_GBK" w:cs="方正黑体_GBK"/>
          <w:b/>
          <w:i/>
          <w:sz w:val="16"/>
          <w:u w:val="single"/>
        </w:rPr>
        <w:t xml:space="preserve">“理财非存款、产品有风险、理财产品过往业绩不代表其未来表现，不等于理财产品实际收益，投资须谨慎！” </w:t>
      </w:r>
    </w:p>
    <w:p>
      <w:pPr>
        <w:pStyle w:val="15"/>
        <w:spacing w:before="0" w:beforeLines="0" w:after="0" w:afterLines="0" w:line="240" w:lineRule="auto"/>
        <w:ind w:firstLine="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尊敬的投资者：</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本理财产品指由南银理财作为管理人发行，并由       （以下简称“销售机构”）销售的理财产品。</w:t>
      </w:r>
    </w:p>
    <w:p>
      <w:pPr>
        <w:pStyle w:val="15"/>
        <w:spacing w:beforeLines="0" w:afterLines="0" w:line="240" w:lineRule="auto"/>
        <w:ind w:left="341" w:firstLine="0"/>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第一条 理财产品购买流程说明</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（一）首次在销售机构购买理财产品的投资者应按销售机构的要求明确授权指定账户，用于本理财产品的理财资金划转及理财收益、到期清算分配资金的分配，提供并确认正确的联系方式。</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（二）在销售机构购买理财产品的个人投资者应按销售机构的要求进行投资者风险承受能力评估，并确认风险承受能力等级不低于本理财产品风险等级。</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（三）投资者应仔细阅读拟购买理财产品销售文件（以下简称“销售文件”），包括但不限于理财产品对应的：《理财产品销售协议书》《理财产品说明书》《理财产品风险揭示书》《投资者权益须知》</w:t>
      </w:r>
      <w:r>
        <w:rPr>
          <w:rFonts w:hint="eastAsia" w:ascii="方正黑体_GBK" w:hAnsi="方正黑体_GBK" w:eastAsia="方正黑体_GBK" w:cs="方正黑体_GBK"/>
          <w:spacing w:val="10"/>
          <w:sz w:val="15"/>
        </w:rPr>
        <w:t>《</w:t>
      </w:r>
      <w:r>
        <w:rPr>
          <w:rFonts w:hint="eastAsia" w:ascii="方正黑体_GBK" w:hAnsi="方正黑体_GBK" w:eastAsia="方正黑体_GBK" w:cs="方正黑体_GBK"/>
          <w:spacing w:val="10"/>
          <w:kern w:val="2"/>
          <w:sz w:val="15"/>
        </w:rPr>
        <w:t>理财产品投资协议书》</w:t>
      </w:r>
      <w:r>
        <w:rPr>
          <w:rFonts w:hint="eastAsia" w:ascii="方正黑体_GBK" w:hAnsi="方正黑体_GBK" w:eastAsia="方正黑体_GBK" w:cs="方正黑体_GBK"/>
          <w:color w:val="auto"/>
          <w:spacing w:val="10"/>
          <w:kern w:val="2"/>
          <w:sz w:val="15"/>
        </w:rPr>
        <w:t>等，理解并确认理财产品条款及产品风险。</w:t>
      </w:r>
    </w:p>
    <w:p>
      <w:pPr>
        <w:pStyle w:val="15"/>
        <w:spacing w:before="0" w:beforeLines="0" w:after="0" w:afterLines="0" w:line="240" w:lineRule="auto"/>
        <w:ind w:firstLine="48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投资者在销售机构提供的渠道自主决定是否购买理财产品，确定购买金额，完成交易申请，并在确认份额后进行查询。</w:t>
      </w:r>
    </w:p>
    <w:p>
      <w:pPr>
        <w:pStyle w:val="15"/>
        <w:spacing w:before="0" w:beforeLines="0" w:after="0" w:afterLines="0" w:line="240" w:lineRule="auto"/>
        <w:ind w:firstLine="48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 xml:space="preserve">       </w:t>
      </w:r>
    </w:p>
    <w:p>
      <w:pPr>
        <w:pStyle w:val="15"/>
        <w:spacing w:before="0" w:beforeLines="0" w:after="0" w:afterLines="0" w:line="240" w:lineRule="auto"/>
        <w:ind w:firstLine="341"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第二条 投资者风险承受能力评估流程说明</w:t>
      </w:r>
    </w:p>
    <w:p>
      <w:pPr>
        <w:pStyle w:val="15"/>
        <w:spacing w:before="0" w:beforeLines="0" w:after="0" w:afterLines="0" w:line="240" w:lineRule="auto"/>
        <w:ind w:firstLine="47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（一）个人投资者风险承受能力评估流程说明</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1.个人投资者首次通过销售机构购买理财产品时应根据销售机构的要求进行风险承受能力评估。</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2.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3.个人投资者风险承受能力评估流程</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（1）个人投资者在销售机构进行风险承受能力评估；</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（2）填写销售机构个人投资者风险承受能力测试问卷；</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（3）生成相应的个人投资者风险承受能力评估结果；</w:t>
      </w:r>
    </w:p>
    <w:p>
      <w:pPr>
        <w:pStyle w:val="15"/>
        <w:spacing w:before="0" w:beforeLines="0" w:after="0" w:afterLines="0" w:line="240" w:lineRule="auto"/>
        <w:ind w:firstLine="33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（4）投资者对评估结果进行确认。</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●特别提示：如个人投资者发生可能影响其自身风险承受能力的情况，再次购买理财产品时应当主动要求销售机构对其进行风险承受能力评估。</w:t>
      </w:r>
    </w:p>
    <w:p>
      <w:pPr>
        <w:pStyle w:val="15"/>
        <w:spacing w:before="0" w:beforeLines="0" w:after="0" w:afterLines="0" w:line="240" w:lineRule="auto"/>
        <w:ind w:firstLine="340" w:firstLineChars="200"/>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评级具体含义说明。投资者风险承受能力评估结果的含义如下：</w:t>
      </w:r>
    </w:p>
    <w:p>
      <w:pPr>
        <w:pStyle w:val="15"/>
        <w:spacing w:before="0" w:beforeLines="0" w:after="0" w:afterLines="0" w:line="240" w:lineRule="auto"/>
        <w:ind w:firstLine="380"/>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 xml:space="preserve">     </w:t>
      </w:r>
    </w:p>
    <w:p>
      <w:pPr>
        <w:pStyle w:val="15"/>
        <w:spacing w:before="0" w:beforeLines="0" w:after="0" w:afterLines="0" w:line="240" w:lineRule="auto"/>
        <w:ind w:firstLine="47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（二）机构投资者风险承受能力评估流程说明</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机构投资者请根据自身的财务状况、投资经验、投资目标、风险认知、风险判断及其他因素综合考量理财产品的投资风险及自身的风险承受能力。</w:t>
      </w:r>
    </w:p>
    <w:p>
      <w:pPr>
        <w:pStyle w:val="15"/>
        <w:spacing w:before="0" w:beforeLines="0" w:after="0" w:afterLines="0" w:line="240" w:lineRule="auto"/>
        <w:ind w:firstLine="478"/>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第三条 理财产品风险等级说明</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由于理财产品的运行方式和投资范围等不同，其承担的风险程度各有不同，南银理财将其风险等级分为五级，分别为：PR1级（低风险）、PR2级（中低风险）、PR3级（中等风险）、PR4级（中高风险）、PR5级（高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PR1级（低风险）：管理人不承诺本金保障，产品收益随投资表现变动，产品存在极低的本金损失风险。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PR2级（中低风险）：管理人不承诺本金保障，产品收益随投资表现变动，产品存在较低的本金损失风险。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PR3级（中等风险）：管理人不承诺本金保障，产品收益随投资表现变动，产品存在一定的本金损失风险。</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PR4级（中高风险）：管理人不承诺本金保障，产品收益随投资表现变动，产品存在较高的本金损失风险。</w:t>
      </w:r>
    </w:p>
    <w:p>
      <w:pPr>
        <w:pStyle w:val="15"/>
        <w:spacing w:before="0" w:beforeLines="0" w:after="0" w:afterLines="0" w:line="240" w:lineRule="auto"/>
        <w:ind w:firstLine="336" w:firstLineChars="198"/>
        <w:jc w:val="both"/>
        <w:rPr>
          <w:rFonts w:hint="eastAsia" w:ascii="方正黑体_GBK" w:hAnsi="方正黑体_GBK" w:eastAsia="方正黑体_GBK" w:cs="方正黑体_GBK"/>
          <w:sz w:val="24"/>
        </w:rPr>
      </w:pPr>
      <w:r>
        <w:rPr>
          <w:rFonts w:hint="eastAsia" w:ascii="方正黑体_GBK" w:hAnsi="方正黑体_GBK" w:eastAsia="方正黑体_GBK" w:cs="方正黑体_GBK"/>
          <w:color w:val="auto"/>
          <w:spacing w:val="10"/>
          <w:kern w:val="2"/>
          <w:sz w:val="15"/>
        </w:rPr>
        <w:t>PR5级（高风险）：管理人不承诺本金保障，产品收益随投资表现变动，产品存在极高的本金损失风险，产品本金蒙受全部损失的可能性不容忽视。</w:t>
      </w:r>
    </w:p>
    <w:p>
      <w:pPr>
        <w:pStyle w:val="15"/>
        <w:spacing w:before="0" w:beforeLines="0" w:after="0" w:afterLines="0" w:line="240" w:lineRule="auto"/>
        <w:ind w:firstLine="338" w:firstLineChars="199"/>
        <w:jc w:val="both"/>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本风险等级为南银理财风险评级结果，该产品通过代理销售机构渠道销售的，理财产品评级应当以代理销售机构最终披露的评级结果为准。您需充分认识投资风险，谨慎投资。</w:t>
      </w:r>
    </w:p>
    <w:p>
      <w:pPr>
        <w:pStyle w:val="15"/>
        <w:spacing w:before="0" w:beforeLines="0" w:after="0" w:afterLines="0" w:line="240" w:lineRule="auto"/>
        <w:ind w:firstLine="341" w:firstLineChars="200"/>
        <w:jc w:val="both"/>
        <w:rPr>
          <w:rFonts w:hint="eastAsia" w:ascii="方正黑体_GBK" w:hAnsi="方正黑体_GBK" w:eastAsia="方正黑体_GBK" w:cs="方正黑体_GBK"/>
          <w:sz w:val="24"/>
        </w:rPr>
      </w:pPr>
      <w:r>
        <w:rPr>
          <w:rFonts w:hint="eastAsia" w:ascii="方正黑体_GBK" w:hAnsi="方正黑体_GBK" w:eastAsia="方正黑体_GBK" w:cs="方正黑体_GBK"/>
          <w:b/>
          <w:color w:val="auto"/>
          <w:spacing w:val="10"/>
          <w:kern w:val="2"/>
          <w:sz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5"/>
        <w:spacing w:before="0" w:beforeLines="0" w:after="0" w:afterLines="0" w:line="240" w:lineRule="auto"/>
        <w:ind w:firstLine="338" w:firstLineChars="198"/>
        <w:jc w:val="both"/>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第四条 个人投资者风险承受能力等级与适合购买的理财产品说明</w:t>
      </w:r>
    </w:p>
    <w:tbl>
      <w:tblPr>
        <w:tblStyle w:val="16"/>
        <w:tblW w:w="5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6"/>
        <w:gridCol w:w="741"/>
        <w:gridCol w:w="816"/>
        <w:gridCol w:w="816"/>
        <w:gridCol w:w="816"/>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bottom w:val="nil"/>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个人投资者风险承受能力</w:t>
            </w:r>
          </w:p>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等级</w:t>
            </w:r>
          </w:p>
        </w:tc>
        <w:tc>
          <w:tcPr>
            <w:tcW w:w="3930" w:type="dxa"/>
            <w:gridSpan w:val="5"/>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南银理财理财产品风险等级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866"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p>
        </w:tc>
        <w:tc>
          <w:tcPr>
            <w:tcW w:w="741"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低风险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（PR1）</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中低风险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（PR2）</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中等风险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（PR3）</w:t>
            </w:r>
          </w:p>
        </w:tc>
        <w:tc>
          <w:tcPr>
            <w:tcW w:w="816"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中高风险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（PR4）</w:t>
            </w:r>
          </w:p>
        </w:tc>
        <w:tc>
          <w:tcPr>
            <w:tcW w:w="741" w:type="dxa"/>
            <w:tcBorders>
              <w:top w:val="single" w:color="auto" w:sz="4" w:space="0"/>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高风险</w:t>
            </w:r>
            <w:r>
              <w:rPr>
                <w:rFonts w:hint="eastAsia" w:ascii="方正黑体_GBK" w:hAnsi="方正黑体_GBK" w:eastAsia="方正黑体_GBK" w:cs="方正黑体_GBK"/>
                <w:kern w:val="0"/>
                <w:sz w:val="15"/>
              </w:rPr>
              <w:br w:type="textWrapping"/>
            </w:r>
            <w:r>
              <w:rPr>
                <w:rFonts w:hint="eastAsia" w:ascii="方正黑体_GBK" w:hAnsi="方正黑体_GBK" w:eastAsia="方正黑体_GBK" w:cs="方正黑体_GBK"/>
                <w:kern w:val="0"/>
                <w:sz w:val="15"/>
              </w:rPr>
              <w:t>（PR5）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nil"/>
              <w:left w:val="nil"/>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c>
          <w:tcPr>
            <w:tcW w:w="741"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napToGrid w:val="0"/>
              <w:spacing w:beforeLines="0" w:afterLines="0"/>
              <w:jc w:val="center"/>
              <w:rPr>
                <w:rFonts w:hint="eastAsia" w:ascii="方正黑体_GBK" w:hAnsi="方正黑体_GBK" w:eastAsia="方正黑体_GBK" w:cs="方正黑体_GBK"/>
                <w:kern w:val="0"/>
                <w:sz w:val="15"/>
              </w:rPr>
            </w:pPr>
            <w:r>
              <w:rPr>
                <w:rFonts w:hint="eastAsia" w:ascii="方正黑体_GBK" w:hAnsi="方正黑体_GBK" w:eastAsia="方正黑体_GBK" w:cs="方正黑体_GBK"/>
                <w:kern w:val="0"/>
                <w:sz w:val="15"/>
              </w:rPr>
              <w:t xml:space="preserve">  </w:t>
            </w:r>
          </w:p>
        </w:tc>
      </w:tr>
    </w:tbl>
    <w:p>
      <w:pPr>
        <w:pStyle w:val="15"/>
        <w:spacing w:before="0" w:beforeLines="0" w:after="0" w:afterLines="0" w:line="240" w:lineRule="auto"/>
        <w:ind w:firstLine="340" w:firstLineChars="200"/>
        <w:jc w:val="center"/>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color w:val="auto"/>
          <w:spacing w:val="10"/>
          <w:kern w:val="2"/>
          <w:sz w:val="15"/>
        </w:rPr>
        <w:t>备注：√代表可以购买；×代表不能购买。</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第五条 理财产品信息披露的方式、渠道和频率说明</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南银理财按照对应期次《理财产品说明书》约定的方式、渠道和频率进行信息披露。投资者应密切关注与本理财产品有关的信息披露，以免造成不必要的损失。</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投资者预留在南银理财或销售机构的有效联系方式变更的，应及时通知南银理财或销售机构。</w:t>
      </w:r>
      <w:r>
        <w:rPr>
          <w:rFonts w:hint="eastAsia" w:ascii="方正黑体_GBK" w:hAnsi="方正黑体_GBK" w:eastAsia="方正黑体_GBK" w:cs="方正黑体_GBK"/>
          <w:b/>
          <w:color w:val="auto"/>
          <w:spacing w:val="10"/>
          <w:kern w:val="2"/>
          <w:sz w:val="15"/>
        </w:rPr>
        <w:t>如投资者未及时告知南银理财或销售机构联系方式变更，造成南银理财或销售机构在需要时无法联系投资者，并由此影响投资者的投资决策，因此而产生的责任和风险由投资者自行承担。</w:t>
      </w:r>
    </w:p>
    <w:p>
      <w:pPr>
        <w:pStyle w:val="15"/>
        <w:spacing w:before="0" w:beforeLines="0" w:after="0" w:afterLines="0" w:line="240" w:lineRule="auto"/>
        <w:ind w:firstLine="341"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
          <w:color w:val="auto"/>
          <w:spacing w:val="10"/>
          <w:kern w:val="2"/>
          <w:sz w:val="15"/>
        </w:rPr>
        <w:t>第六条 投资者信息保护</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南银理财及销售机构承诺依法履行投资者信息保密义务，防范投资者信息被不当采集、使用、传输和泄露，保护投资者的信息安全，法律法规另有规定，或有权机关另有要求的情形除外。</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第七条 投资者投诉的方式和程序</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投资者若需针对产品的设计、成立、运作、到期清算或提前终止等事项进行投诉，</w:t>
      </w:r>
      <w:r>
        <w:rPr>
          <w:rFonts w:hint="eastAsia" w:ascii="方正黑体_GBK" w:hAnsi="方正黑体_GBK" w:eastAsia="方正黑体_GBK" w:cs="方正黑体_GBK"/>
          <w:b/>
          <w:color w:val="auto"/>
          <w:spacing w:val="10"/>
          <w:kern w:val="2"/>
          <w:sz w:val="15"/>
        </w:rPr>
        <w:t>可与管理人或销售机构联系，管理人或销售机构将及时接听、记录投资者的意见或建议，并与投资者协商共同解决</w:t>
      </w:r>
      <w:r>
        <w:rPr>
          <w:rFonts w:hint="eastAsia" w:ascii="方正黑体_GBK" w:hAnsi="方正黑体_GBK" w:eastAsia="方正黑体_GBK" w:cs="方正黑体_GBK"/>
          <w:color w:val="auto"/>
          <w:spacing w:val="10"/>
          <w:kern w:val="2"/>
          <w:sz w:val="15"/>
        </w:rPr>
        <w:t>。</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第八条 联系方式</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（一）南银理财联系方式</w:t>
      </w:r>
    </w:p>
    <w:p>
      <w:pPr>
        <w:pStyle w:val="15"/>
        <w:spacing w:before="0" w:after="0" w:line="240" w:lineRule="auto"/>
        <w:ind w:left="340" w:firstLine="0"/>
        <w:rPr>
          <w:rFonts w:hint="eastAsia" w:ascii="方正黑体_GBK" w:hAnsi="方正黑体_GBK" w:eastAsia="方正黑体_GBK" w:cs="方正黑体_GBK"/>
          <w:bCs/>
          <w:color w:val="auto"/>
          <w:spacing w:val="10"/>
          <w:kern w:val="2"/>
          <w:sz w:val="15"/>
          <w:szCs w:val="15"/>
        </w:rPr>
      </w:pPr>
      <w:r>
        <w:rPr>
          <w:rFonts w:hint="eastAsia" w:ascii="方正黑体_GBK" w:hAnsi="方正黑体_GBK" w:eastAsia="方正黑体_GBK" w:cs="方正黑体_GBK"/>
          <w:bCs/>
          <w:color w:val="auto"/>
          <w:spacing w:val="10"/>
          <w:kern w:val="2"/>
          <w:sz w:val="15"/>
          <w:szCs w:val="15"/>
        </w:rPr>
        <w:t>地址：南京市建邺区奥体大街68号国际研发总部园2栋13、14楼</w:t>
      </w:r>
    </w:p>
    <w:p>
      <w:pPr>
        <w:pStyle w:val="15"/>
        <w:spacing w:before="0" w:beforeLines="0" w:after="0" w:afterLines="0" w:line="240" w:lineRule="auto"/>
        <w:ind w:left="340" w:firstLine="0" w:firstLineChars="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bCs/>
          <w:color w:val="auto"/>
          <w:spacing w:val="10"/>
          <w:kern w:val="2"/>
          <w:sz w:val="15"/>
          <w:szCs w:val="15"/>
        </w:rPr>
        <w:t>电话：</w:t>
      </w:r>
      <w:r>
        <w:rPr>
          <w:rFonts w:hint="eastAsia" w:ascii="方正黑体_GBK" w:hAnsi="方正黑体_GBK" w:eastAsia="方正黑体_GBK" w:cs="方正黑体_GBK"/>
          <w:bCs/>
          <w:color w:val="auto"/>
          <w:spacing w:val="10"/>
          <w:kern w:val="2"/>
          <w:sz w:val="15"/>
          <w:szCs w:val="15"/>
          <w:lang w:val="en-US" w:eastAsia="zh-CN"/>
        </w:rPr>
        <w:t>4001195302</w:t>
      </w:r>
      <w:r>
        <w:rPr>
          <w:rFonts w:hint="eastAsia" w:ascii="方正黑体_GBK" w:hAnsi="方正黑体_GBK" w:eastAsia="方正黑体_GBK" w:cs="方正黑体_GBK"/>
          <w:bCs/>
          <w:color w:val="auto"/>
          <w:spacing w:val="10"/>
          <w:kern w:val="2"/>
          <w:sz w:val="15"/>
          <w:szCs w:val="15"/>
        </w:rPr>
        <w:t xml:space="preserve"> </w:t>
      </w:r>
      <w:r>
        <w:rPr>
          <w:rFonts w:hint="eastAsia" w:ascii="方正黑体_GBK" w:hAnsi="方正黑体_GBK" w:eastAsia="方正黑体_GBK" w:cs="方正黑体_GBK"/>
          <w:color w:val="auto"/>
          <w:spacing w:val="10"/>
          <w:kern w:val="2"/>
          <w:sz w:val="15"/>
        </w:rPr>
        <w:t xml:space="preserve">   </w:t>
      </w:r>
    </w:p>
    <w:p>
      <w:pPr>
        <w:pStyle w:val="15"/>
        <w:spacing w:before="0" w:beforeLines="0" w:after="0" w:afterLines="0" w:line="240" w:lineRule="auto"/>
        <w:ind w:firstLine="340" w:firstLineChars="200"/>
        <w:rPr>
          <w:rFonts w:hint="eastAsia" w:ascii="方正黑体_GBK" w:hAnsi="方正黑体_GBK" w:eastAsia="方正黑体_GBK" w:cs="方正黑体_GBK"/>
          <w:color w:val="auto"/>
          <w:spacing w:val="10"/>
          <w:kern w:val="2"/>
          <w:sz w:val="15"/>
        </w:rPr>
      </w:pPr>
      <w:r>
        <w:rPr>
          <w:rFonts w:hint="eastAsia" w:ascii="方正黑体_GBK" w:hAnsi="方正黑体_GBK" w:eastAsia="方正黑体_GBK" w:cs="方正黑体_GBK"/>
          <w:color w:val="auto"/>
          <w:spacing w:val="10"/>
          <w:kern w:val="2"/>
          <w:sz w:val="15"/>
        </w:rPr>
        <w:t>（二）销售机构联系方式</w:t>
      </w:r>
    </w:p>
    <w:p>
      <w:pPr>
        <w:pStyle w:val="15"/>
        <w:spacing w:before="0" w:beforeLines="0" w:after="0" w:afterLines="0" w:line="240" w:lineRule="auto"/>
        <w:ind w:firstLine="341" w:firstLineChars="200"/>
        <w:rPr>
          <w:rFonts w:hint="eastAsia" w:ascii="方正黑体_GBK" w:hAnsi="方正黑体_GBK" w:eastAsia="方正黑体_GBK" w:cs="方正黑体_GBK"/>
          <w:b/>
          <w:color w:val="auto"/>
          <w:spacing w:val="10"/>
          <w:kern w:val="2"/>
          <w:sz w:val="15"/>
        </w:rPr>
      </w:pPr>
      <w:r>
        <w:rPr>
          <w:rFonts w:hint="eastAsia" w:ascii="方正黑体_GBK" w:hAnsi="方正黑体_GBK" w:eastAsia="方正黑体_GBK" w:cs="方正黑体_GBK"/>
          <w:b/>
          <w:color w:val="auto"/>
          <w:spacing w:val="10"/>
          <w:kern w:val="2"/>
          <w:sz w:val="15"/>
        </w:rPr>
        <w:t xml:space="preserve">    </w:t>
      </w:r>
    </w:p>
    <w:p>
      <w:pPr>
        <w:pStyle w:val="15"/>
        <w:spacing w:before="0" w:beforeLines="0" w:after="0" w:afterLines="0" w:line="240" w:lineRule="auto"/>
        <w:ind w:firstLine="0"/>
        <w:jc w:val="both"/>
        <w:rPr>
          <w:rFonts w:hint="eastAsia" w:ascii="方正黑体_GBK" w:hAnsi="方正黑体_GBK" w:eastAsia="方正黑体_GBK" w:cs="方正黑体_GBK"/>
          <w:b/>
          <w:color w:val="auto"/>
          <w:spacing w:val="10"/>
          <w:kern w:val="2"/>
          <w:sz w:val="15"/>
          <w:u w:val="single"/>
        </w:rPr>
      </w:pPr>
    </w:p>
    <w:p>
      <w:pPr>
        <w:pStyle w:val="15"/>
        <w:spacing w:before="0" w:beforeLines="0" w:after="0" w:afterLines="0" w:line="240" w:lineRule="auto"/>
        <w:ind w:firstLine="0"/>
        <w:jc w:val="center"/>
        <w:rPr>
          <w:rFonts w:hint="eastAsia" w:ascii="方正黑体_GBK" w:hAnsi="方正黑体_GBK" w:eastAsia="方正黑体_GBK" w:cs="方正黑体_GBK"/>
          <w:b/>
          <w:color w:val="auto"/>
          <w:spacing w:val="10"/>
          <w:kern w:val="2"/>
          <w:sz w:val="15"/>
          <w:u w:val="single"/>
        </w:rPr>
      </w:pPr>
      <w:r>
        <w:rPr>
          <w:rFonts w:hint="eastAsia" w:ascii="方正黑体_GBK" w:hAnsi="方正黑体_GBK" w:eastAsia="方正黑体_GBK" w:cs="方正黑体_GBK"/>
          <w:b/>
          <w:color w:val="auto"/>
          <w:spacing w:val="10"/>
          <w:kern w:val="2"/>
          <w:sz w:val="15"/>
          <w:u w:val="single"/>
        </w:rPr>
        <w:t>仔细阅读提示</w:t>
      </w:r>
    </w:p>
    <w:p>
      <w:pPr>
        <w:spacing w:beforeLines="0" w:afterLines="0"/>
        <w:ind w:firstLine="341" w:firstLineChars="200"/>
        <w:rPr>
          <w:rFonts w:hint="eastAsia" w:ascii="方正黑体_GBK" w:hAnsi="方正黑体_GBK" w:eastAsia="方正黑体_GBK" w:cs="方正黑体_GBK"/>
          <w:b/>
          <w:spacing w:val="10"/>
          <w:sz w:val="15"/>
          <w:u w:val="single"/>
        </w:rPr>
      </w:pPr>
      <w:r>
        <w:rPr>
          <w:rFonts w:hint="eastAsia" w:ascii="方正黑体_GBK" w:hAnsi="方正黑体_GBK" w:eastAsia="方正黑体_GBK" w:cs="方正黑体_GBK"/>
          <w:b/>
          <w:spacing w:val="10"/>
          <w:sz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pStyle w:val="15"/>
        <w:spacing w:beforeLines="0" w:afterLines="0" w:line="240" w:lineRule="atLeast"/>
        <w:rPr>
          <w:rFonts w:hint="eastAsia" w:ascii="方正黑体_GBK" w:hAnsi="方正黑体_GBK" w:eastAsia="方正黑体_GBK" w:cs="方正黑体_GBK"/>
          <w:b/>
          <w:color w:val="auto"/>
          <w:spacing w:val="10"/>
          <w:sz w:val="15"/>
          <w:u w:val="single"/>
        </w:rPr>
      </w:pPr>
    </w:p>
    <w:p>
      <w:pPr>
        <w:pStyle w:val="15"/>
        <w:spacing w:line="0" w:lineRule="atLeast"/>
        <w:rPr>
          <w:rFonts w:hint="eastAsia" w:ascii="方正黑体_GBK" w:hAnsi="方正黑体_GBK" w:eastAsia="方正黑体_GBK" w:cs="方正黑体_GBK"/>
          <w:b/>
          <w:color w:val="auto"/>
          <w:spacing w:val="10"/>
          <w:sz w:val="15"/>
          <w:szCs w:val="15"/>
          <w:u w:val="single"/>
        </w:rPr>
      </w:pPr>
    </w:p>
    <w:p>
      <w:pPr>
        <w:spacing w:line="0" w:lineRule="atLeast"/>
        <w:jc w:val="center"/>
        <w:rPr>
          <w:rFonts w:hint="eastAsia" w:ascii="方正黑体_GBK" w:hAnsi="方正黑体_GBK" w:eastAsia="方正黑体_GBK" w:cs="方正黑体_GBK"/>
          <w:b/>
          <w:bCs/>
          <w:sz w:val="24"/>
          <w:szCs w:val="15"/>
        </w:rPr>
        <w:sectPr>
          <w:headerReference r:id="rId6" w:type="default"/>
          <w:footerReference r:id="rId7" w:type="default"/>
          <w:pgSz w:w="11906" w:h="16838"/>
          <w:pgMar w:top="720" w:right="720" w:bottom="720" w:left="720" w:header="510" w:footer="624" w:gutter="0"/>
          <w:cols w:space="720" w:num="1"/>
          <w:docGrid w:type="lines" w:linePitch="312" w:charSpace="0"/>
        </w:sect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r>
        <w:rPr>
          <w:rFonts w:hint="eastAsia" w:ascii="方正黑体_GBK" w:hAnsi="方正黑体_GBK" w:eastAsia="方正黑体_GBK" w:cs="方正黑体_GBK"/>
          <w:b/>
          <w:bCs/>
          <w:sz w:val="24"/>
          <w:szCs w:val="15"/>
        </w:rPr>
        <w:t>理财产品销售协议书</w:t>
      </w: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rPr>
      </w:pPr>
    </w:p>
    <w:p>
      <w:pPr>
        <w:tabs>
          <w:tab w:val="left" w:pos="0"/>
        </w:tabs>
        <w:jc w:val="center"/>
        <w:rPr>
          <w:rFonts w:hint="eastAsia" w:ascii="方正黑体_GBK" w:hAnsi="方正黑体_GBK" w:eastAsia="方正黑体_GBK" w:cs="方正黑体_GBK"/>
          <w:szCs w:val="21"/>
          <w:u w:val="single"/>
        </w:rPr>
      </w:pPr>
      <w:r>
        <w:rPr>
          <w:rFonts w:hint="eastAsia" w:ascii="方正黑体_GBK" w:hAnsi="方正黑体_GBK" w:eastAsia="方正黑体_GBK" w:cs="方正黑体_GBK"/>
          <w:szCs w:val="21"/>
        </w:rPr>
        <w:t>编制单位：</w:t>
      </w:r>
      <w:r>
        <w:rPr>
          <w:rFonts w:hint="eastAsia" w:ascii="方正黑体_GBK" w:hAnsi="方正黑体_GBK" w:eastAsia="方正黑体_GBK" w:cs="方正黑体_GBK"/>
          <w:szCs w:val="21"/>
          <w:u w:val="single"/>
        </w:rPr>
        <w:t>南银理财有限责任公司</w:t>
      </w:r>
    </w:p>
    <w:p>
      <w:pPr>
        <w:tabs>
          <w:tab w:val="left" w:pos="0"/>
        </w:tabs>
        <w:spacing w:line="240" w:lineRule="auto"/>
        <w:ind w:left="0" w:firstLine="0" w:firstLineChars="0"/>
        <w:jc w:val="center"/>
        <w:rPr>
          <w:rFonts w:hint="eastAsia" w:ascii="方正黑体_GBK" w:hAnsi="方正黑体_GBK" w:eastAsia="方正黑体_GBK" w:cs="方正黑体_GBK"/>
          <w:szCs w:val="21"/>
          <w:u w:val="single"/>
        </w:rPr>
        <w:sectPr>
          <w:pgSz w:w="11906" w:h="16838"/>
          <w:pgMar w:top="720" w:right="720" w:bottom="720" w:left="720" w:header="510" w:footer="624" w:gutter="0"/>
          <w:cols w:space="720" w:num="1"/>
          <w:docGrid w:type="lines" w:linePitch="312" w:charSpace="0"/>
        </w:sectPr>
      </w:pPr>
      <w:r>
        <w:rPr>
          <w:rFonts w:hint="eastAsia" w:ascii="方正黑体_GBK" w:hAnsi="方正黑体_GBK" w:eastAsia="方正黑体_GBK" w:cs="方正黑体_GBK"/>
          <w:szCs w:val="21"/>
        </w:rPr>
        <w:t>版次号：</w:t>
      </w:r>
      <w:r>
        <w:rPr>
          <w:rFonts w:hint="eastAsia" w:ascii="方正黑体_GBK" w:hAnsi="方正黑体_GBK" w:eastAsia="方正黑体_GBK" w:cs="方正黑体_GBK"/>
          <w:szCs w:val="21"/>
          <w:u w:val="single"/>
        </w:rPr>
        <w:t>2021第2版</w:t>
      </w:r>
    </w:p>
    <w:p>
      <w:pPr>
        <w:adjustRightInd w:val="0"/>
        <w:snapToGrid w:val="0"/>
        <w:spacing w:line="0" w:lineRule="atLeast"/>
        <w:rPr>
          <w:rFonts w:hint="eastAsia" w:ascii="方正黑体_GBK" w:hAnsi="方正黑体_GBK" w:eastAsia="方正黑体_GBK" w:cs="方正黑体_GBK"/>
          <w:b/>
          <w:bCs/>
          <w:szCs w:val="21"/>
        </w:rPr>
      </w:pPr>
      <w:bookmarkStart w:id="0" w:name="_Toc310836824"/>
      <w:bookmarkEnd w:id="0"/>
      <w:bookmarkStart w:id="1" w:name="_Toc310836822"/>
      <w:bookmarkEnd w:id="1"/>
      <w:bookmarkStart w:id="2" w:name="_Toc310770285"/>
      <w:bookmarkEnd w:id="2"/>
      <w:bookmarkStart w:id="3" w:name="_Toc310243214"/>
      <w:bookmarkEnd w:id="3"/>
      <w:bookmarkStart w:id="4" w:name="_Toc310770511"/>
      <w:bookmarkEnd w:id="4"/>
      <w:bookmarkStart w:id="5" w:name="_Toc310770284"/>
      <w:bookmarkEnd w:id="5"/>
      <w:bookmarkStart w:id="6" w:name="_Toc310770513"/>
      <w:bookmarkEnd w:id="6"/>
      <w:bookmarkStart w:id="7" w:name="_Toc310770512"/>
      <w:bookmarkEnd w:id="7"/>
      <w:bookmarkStart w:id="8" w:name="_Toc310770287"/>
      <w:bookmarkEnd w:id="8"/>
      <w:bookmarkStart w:id="9" w:name="_Toc310773098"/>
      <w:bookmarkEnd w:id="9"/>
      <w:bookmarkStart w:id="10" w:name="_Toc310836823"/>
      <w:bookmarkEnd w:id="10"/>
      <w:bookmarkStart w:id="11" w:name="_Toc310243213"/>
      <w:bookmarkEnd w:id="11"/>
      <w:bookmarkStart w:id="12" w:name="_Toc310770283"/>
      <w:bookmarkEnd w:id="12"/>
      <w:bookmarkStart w:id="13" w:name="_Toc310773099"/>
      <w:bookmarkEnd w:id="13"/>
      <w:bookmarkStart w:id="14" w:name="_Toc310243215"/>
      <w:bookmarkEnd w:id="14"/>
      <w:bookmarkStart w:id="15" w:name="_Toc310773100"/>
      <w:bookmarkEnd w:id="15"/>
      <w:r>
        <w:rPr>
          <w:rFonts w:hint="eastAsia" w:ascii="方正黑体_GBK" w:hAnsi="方正黑体_GBK" w:eastAsia="方正黑体_GBK" w:cs="方正黑体_GBK"/>
          <w:b/>
          <w:bCs/>
          <w:szCs w:val="21"/>
        </w:rPr>
        <w:t>风险提示：</w:t>
      </w:r>
    </w:p>
    <w:p>
      <w:pPr>
        <w:adjustRightInd w:val="0"/>
        <w:snapToGrid w:val="0"/>
        <w:spacing w:line="0" w:lineRule="atLeast"/>
        <w:rPr>
          <w:rFonts w:hint="eastAsia" w:ascii="方正黑体_GBK" w:hAnsi="方正黑体_GBK" w:eastAsia="方正黑体_GBK" w:cs="方正黑体_GBK"/>
          <w:b/>
          <w:bCs/>
          <w:szCs w:val="21"/>
        </w:rPr>
      </w:pPr>
      <w:r>
        <w:rPr>
          <w:rFonts w:hint="eastAsia" w:ascii="方正黑体_GBK" w:hAnsi="方正黑体_GBK" w:eastAsia="方正黑体_GBK" w:cs="方正黑体_GBK"/>
          <w:b/>
          <w:bCs/>
          <w:szCs w:val="21"/>
        </w:rPr>
        <w:t>本理财产品是净值型理财产品，不保证本金和收益，投资者的本金与收益可能会因市场变动而蒙受重大损失，投资者应仔细阅读本理财产品销售协议书条款和对应期次的《理财产品说明书》《理财产品风险揭示书》</w:t>
      </w:r>
      <w:bookmarkStart w:id="16" w:name="_Hlk41679176"/>
      <w:r>
        <w:rPr>
          <w:rFonts w:hint="eastAsia" w:ascii="方正黑体_GBK" w:hAnsi="方正黑体_GBK" w:eastAsia="方正黑体_GBK" w:cs="方正黑体_GBK"/>
          <w:b/>
          <w:bCs/>
          <w:szCs w:val="21"/>
        </w:rPr>
        <w:t>《投资者权益须知》</w:t>
      </w:r>
      <w:bookmarkEnd w:id="16"/>
      <w:r>
        <w:rPr>
          <w:rFonts w:hint="eastAsia" w:ascii="方正黑体_GBK" w:hAnsi="方正黑体_GBK" w:eastAsia="方正黑体_GBK" w:cs="方正黑体_GBK"/>
          <w:b/>
          <w:bCs/>
          <w:szCs w:val="21"/>
        </w:rPr>
        <w:t>《理财产品投资协议书》，充分认识投资风险，谨慎投资。</w:t>
      </w:r>
    </w:p>
    <w:p>
      <w:pPr>
        <w:tabs>
          <w:tab w:val="left" w:pos="7920"/>
          <w:tab w:val="left" w:pos="8100"/>
        </w:tabs>
        <w:spacing w:line="0" w:lineRule="atLeast"/>
        <w:rPr>
          <w:rFonts w:hint="eastAsia" w:ascii="方正黑体_GBK" w:hAnsi="方正黑体_GBK" w:eastAsia="方正黑体_GBK" w:cs="方正黑体_GBK"/>
          <w:b/>
          <w:bCs/>
        </w:rPr>
      </w:pPr>
    </w:p>
    <w:p>
      <w:pPr>
        <w:spacing w:line="0" w:lineRule="atLeast"/>
        <w:jc w:val="center"/>
        <w:rPr>
          <w:rFonts w:hint="eastAsia" w:ascii="方正黑体_GBK" w:hAnsi="方正黑体_GBK" w:eastAsia="方正黑体_GBK" w:cs="方正黑体_GBK"/>
          <w:b/>
          <w:bCs/>
          <w:sz w:val="24"/>
          <w:szCs w:val="15"/>
        </w:rPr>
      </w:pPr>
    </w:p>
    <w:p>
      <w:pPr>
        <w:spacing w:line="0" w:lineRule="atLeast"/>
        <w:jc w:val="center"/>
        <w:rPr>
          <w:rFonts w:hint="eastAsia" w:ascii="方正黑体_GBK" w:hAnsi="方正黑体_GBK" w:eastAsia="方正黑体_GBK" w:cs="方正黑体_GBK"/>
          <w:b/>
          <w:bCs/>
          <w:sz w:val="24"/>
          <w:szCs w:val="15"/>
        </w:rPr>
      </w:pPr>
      <w:r>
        <w:rPr>
          <w:rFonts w:hint="eastAsia" w:ascii="方正黑体_GBK" w:hAnsi="方正黑体_GBK" w:eastAsia="方正黑体_GBK" w:cs="方正黑体_GBK"/>
          <w:b/>
          <w:bCs/>
          <w:sz w:val="24"/>
          <w:szCs w:val="15"/>
        </w:rPr>
        <w:t>理财产品销售协议书</w:t>
      </w:r>
    </w:p>
    <w:p>
      <w:pPr>
        <w:spacing w:line="200" w:lineRule="exact"/>
        <w:ind w:firstLine="300" w:firstLineChars="200"/>
        <w:rPr>
          <w:rFonts w:hint="eastAsia" w:ascii="方正黑体_GBK" w:hAnsi="方正黑体_GBK" w:eastAsia="方正黑体_GBK" w:cs="方正黑体_GBK"/>
          <w:sz w:val="15"/>
          <w:szCs w:val="15"/>
        </w:rPr>
      </w:pPr>
    </w:p>
    <w:p>
      <w:pPr>
        <w:spacing w:line="200" w:lineRule="exact"/>
        <w:ind w:firstLine="300" w:firstLineChars="2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经甲方（南银理财有限责任公司，以下简称“南银理财”、“</w:t>
      </w:r>
      <w:r>
        <w:rPr>
          <w:rFonts w:hint="eastAsia" w:ascii="方正黑体_GBK" w:hAnsi="方正黑体_GBK" w:eastAsia="方正黑体_GBK" w:cs="方正黑体_GBK"/>
          <w:color w:val="3D3D3D"/>
          <w:sz w:val="15"/>
          <w:szCs w:val="15"/>
        </w:rPr>
        <w:t>管理人”、“产品管理人”或“理财产品管理人</w:t>
      </w:r>
      <w:r>
        <w:rPr>
          <w:rFonts w:hint="eastAsia" w:ascii="方正黑体_GBK" w:hAnsi="方正黑体_GBK" w:eastAsia="方正黑体_GBK" w:cs="方正黑体_GBK"/>
          <w:sz w:val="15"/>
          <w:szCs w:val="15"/>
        </w:rPr>
        <w:t>”）与乙方（以下简称“投资者”）双方平等友好协商，本着平等自愿、诚实守信的原则，就乙方购买甲方管理的理财产品的有关事宜达成协议如下：</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名词释义</w:t>
      </w:r>
    </w:p>
    <w:p>
      <w:pPr>
        <w:pStyle w:val="35"/>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本协议项下用词与对应期次的《理财产品说明书》中相关用词含义一致，本协议另有说明的除外。</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销售机构</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        】作为本理财产品的销售机构，负责本理财产品的销售。</w:t>
      </w:r>
    </w:p>
    <w:p>
      <w:pPr>
        <w:numPr>
          <w:ilvl w:val="0"/>
          <w:numId w:val="5"/>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甲方的权利与义务：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甲方应当履行恪尽职守、勤勉尽责、诚实守信、有效管理的义务。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甲方应当按照理财产品销售文件的约定向投资者分配收益。</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甲方应当按照法律法规、理财产品销售文件的约定履行信息披露义务。</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甲方应当确保理财业务与其他业务相分离，理财产品之间相分离，理财业务操作与其他业务操作相分离。</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甲方应当遵守市场交易和公平交易原则，不得在理财产品之间、理财产品投资者之间或者理财产品投资者与其他市场主体之间进行利益输送。</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甲方应当选择具有证券投资基金托管业务资格的金融机构、银行业理财登记托管机构或者国务院银行业监督管理机构认可的其他机构托管理财产品。</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在本协议约定的投资范围和权限内，甲方拥有管理和运用理财资金的权利，并有权按照对应期次《理财产品说明书》的约定收取相应费用、业绩报酬。</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甲方有权根据产品运作的需要选任必要的业务合作机构。</w:t>
      </w:r>
    </w:p>
    <w:p>
      <w:pPr>
        <w:numPr>
          <w:ilvl w:val="0"/>
          <w:numId w:val="6"/>
        </w:numPr>
        <w:spacing w:line="200" w:lineRule="exact"/>
        <w:ind w:firstLine="30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color w:val="000000"/>
          <w:kern w:val="0"/>
          <w:sz w:val="15"/>
          <w:szCs w:val="11"/>
        </w:rPr>
        <w:t>投资者特此同意并授权</w:t>
      </w:r>
      <w:r>
        <w:rPr>
          <w:rFonts w:hint="eastAsia" w:ascii="方正黑体_GBK" w:hAnsi="方正黑体_GBK" w:eastAsia="方正黑体_GBK" w:cs="方正黑体_GBK"/>
          <w:b/>
          <w:bCs/>
          <w:spacing w:val="10"/>
          <w:sz w:val="15"/>
          <w:szCs w:val="15"/>
        </w:rPr>
        <w:t>甲方及销售机构</w:t>
      </w:r>
      <w:r>
        <w:rPr>
          <w:rFonts w:hint="eastAsia" w:ascii="方正黑体_GBK" w:hAnsi="方正黑体_GBK" w:eastAsia="方正黑体_GBK" w:cs="方正黑体_GBK"/>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甲方无义务对第三人支付本理财产品清算分配金额及相关权益，法律法规另有规定的除外。</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甲方以其固有财产先行垫付因处理本理财产品相关事务所支出的理财产品费用及税费的，对理财产品资金享有优先受偿的权利。</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甲方有权根据本理财产品销售文件的约定提前终止或延长本理财产品的存续期限。</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甲方有权调整本理财产品的认购或申购起点、单笔认购或申购上限等要素。</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甲方有权根据相关规定及销售文件的约定，变更销售文件内容。</w:t>
      </w:r>
    </w:p>
    <w:p>
      <w:pPr>
        <w:numPr>
          <w:ilvl w:val="0"/>
          <w:numId w:val="6"/>
        </w:numPr>
        <w:spacing w:line="200" w:lineRule="exact"/>
        <w:ind w:firstLine="341" w:firstLineChars="200"/>
        <w:rPr>
          <w:rFonts w:hint="eastAsia" w:ascii="方正黑体_GBK" w:hAnsi="方正黑体_GBK" w:eastAsia="方正黑体_GBK" w:cs="方正黑体_GBK"/>
          <w:b/>
          <w:bCs/>
          <w:spacing w:val="10"/>
          <w:sz w:val="15"/>
          <w:szCs w:val="15"/>
        </w:rPr>
      </w:pPr>
      <w:bookmarkStart w:id="17" w:name="_Hlk41902117"/>
      <w:r>
        <w:rPr>
          <w:rFonts w:hint="eastAsia" w:ascii="方正黑体_GBK" w:hAnsi="方正黑体_GBK" w:eastAsia="方正黑体_GBK" w:cs="方正黑体_GBK"/>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ascii="方正黑体_GBK" w:hAnsi="方正黑体_GBK" w:eastAsia="方正黑体_GBK" w:cs="方正黑体_GBK"/>
          <w:b/>
          <w:spacing w:val="10"/>
          <w:sz w:val="15"/>
        </w:rPr>
        <w:t>，由此产生的一切损失及费用将由乙方承担，甲方或销售机构有权将此损失及费用从乙方的授权指定账户、理财本金及收益中扣除</w:t>
      </w:r>
      <w:r>
        <w:rPr>
          <w:rFonts w:hint="eastAsia" w:ascii="方正黑体_GBK" w:hAnsi="方正黑体_GBK" w:eastAsia="方正黑体_GBK" w:cs="方正黑体_GBK"/>
          <w:b/>
          <w:bCs/>
          <w:spacing w:val="10"/>
          <w:sz w:val="15"/>
          <w:szCs w:val="15"/>
        </w:rPr>
        <w:t>。</w:t>
      </w:r>
    </w:p>
    <w:p>
      <w:pPr>
        <w:numPr>
          <w:ilvl w:val="0"/>
          <w:numId w:val="6"/>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甲方或销售机构发现或有合理理由怀疑乙方或其资金存在洗钱、恐怖融资、逃税等嫌疑，甲方有权提前终止本协议。</w:t>
      </w:r>
    </w:p>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甲方在此特别披露：</w:t>
      </w:r>
      <w:r>
        <w:rPr>
          <w:rFonts w:hint="eastAsia" w:ascii="方正黑体_GBK" w:hAnsi="方正黑体_GBK" w:eastAsia="方正黑体_GBK" w:cs="方正黑体_GBK"/>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bookmarkEnd w:id="17"/>
    <w:p>
      <w:pPr>
        <w:numPr>
          <w:ilvl w:val="0"/>
          <w:numId w:val="6"/>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法律法规规定及</w:t>
      </w:r>
      <w:bookmarkStart w:id="18" w:name="_Hlk41902131"/>
      <w:r>
        <w:rPr>
          <w:rFonts w:hint="eastAsia" w:ascii="方正黑体_GBK" w:hAnsi="方正黑体_GBK" w:eastAsia="方正黑体_GBK" w:cs="方正黑体_GBK"/>
          <w:spacing w:val="10"/>
          <w:sz w:val="15"/>
          <w:szCs w:val="15"/>
        </w:rPr>
        <w:t>理财产品</w:t>
      </w:r>
      <w:bookmarkEnd w:id="18"/>
      <w:r>
        <w:rPr>
          <w:rFonts w:hint="eastAsia" w:ascii="方正黑体_GBK" w:hAnsi="方正黑体_GBK" w:eastAsia="方正黑体_GBK" w:cs="方正黑体_GBK"/>
          <w:spacing w:val="10"/>
          <w:sz w:val="15"/>
          <w:szCs w:val="15"/>
        </w:rPr>
        <w:t>销售文件约定的其他权利与义务。</w:t>
      </w:r>
    </w:p>
    <w:p>
      <w:pPr>
        <w:spacing w:line="200" w:lineRule="exact"/>
        <w:ind w:left="341"/>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4.乙方的权利与义务：</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乙方应当保证其理财资金为合法拥有的自有资金，不存在涉嫌洗钱、恶意逃避税收征收管理等违法违规行为，保证可提供资金来源合法的证明文件</w:t>
      </w:r>
      <w:bookmarkStart w:id="19" w:name="_Hlk41902537"/>
      <w:r>
        <w:rPr>
          <w:rFonts w:hint="eastAsia" w:ascii="方正黑体_GBK" w:hAnsi="方正黑体_GBK" w:eastAsia="方正黑体_GBK" w:cs="方正黑体_GBK"/>
          <w:spacing w:val="10"/>
          <w:sz w:val="15"/>
          <w:szCs w:val="15"/>
        </w:rPr>
        <w:t>，配合甲方或销售机构为识别合格投资者等目的进行的尽职调查。</w:t>
      </w:r>
    </w:p>
    <w:bookmarkEnd w:id="19"/>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乙方保证具有完全民事行为能力，有完全适当的资格与能力订立并履行本协议。</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乙方应接受销售机构对其投资风险承受能力进行的测评。（个人投资者适用）</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乙方保证，乙方系符合监管规定要求的合格投资者。（私募产品投资者适用）</w:t>
      </w:r>
    </w:p>
    <w:p>
      <w:pPr>
        <w:numPr>
          <w:ilvl w:val="0"/>
          <w:numId w:val="7"/>
        </w:numPr>
        <w:spacing w:line="200" w:lineRule="exact"/>
        <w:ind w:firstLine="34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乙方保证其已知悉甲方并非乙方的投资顾问或其他顾问，乙方并未依赖于甲方和/或甲方的雇员、代理人或关联机构对其所作的任何陈述（不论口头或书面）而决定投资于理财产品。</w:t>
      </w:r>
    </w:p>
    <w:p>
      <w:pPr>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乙方保证签署和履行理财产品销售文件系其真实意思表示，其有权利签署本协议和履行本协议所述的义务，并已为此采取一切所需的行为。</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w:t>
      </w:r>
      <w:bookmarkStart w:id="20" w:name="_Hlk41902655"/>
      <w:r>
        <w:rPr>
          <w:rFonts w:hint="eastAsia" w:ascii="方正黑体_GBK" w:hAnsi="方正黑体_GBK" w:eastAsia="方正黑体_GBK" w:cs="方正黑体_GBK"/>
          <w:spacing w:val="10"/>
          <w:sz w:val="15"/>
          <w:szCs w:val="15"/>
        </w:rPr>
        <w:t>或其他法律文件</w:t>
      </w:r>
      <w:bookmarkEnd w:id="20"/>
      <w:r>
        <w:rPr>
          <w:rFonts w:hint="eastAsia" w:ascii="方正黑体_GBK" w:hAnsi="方正黑体_GBK" w:eastAsia="方正黑体_GBK" w:cs="方正黑体_GBK"/>
          <w:spacing w:val="10"/>
          <w:sz w:val="15"/>
          <w:szCs w:val="15"/>
        </w:rPr>
        <w:t>。乙方应在签署本协议的同时按照对应期次的《理财产品说明书》的约定在授权指定账户存入足额的资金以确保账户余额大于或等于认购或申购金额。</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乙方应按要求确定授权指定账户，用于本理财产品的理财资金划转及理财收益、到期清算分配资金的分配。</w:t>
      </w:r>
      <w:r>
        <w:rPr>
          <w:rFonts w:hint="eastAsia" w:ascii="方正黑体_GBK" w:hAnsi="方正黑体_GBK" w:eastAsia="方正黑体_GBK" w:cs="方正黑体_GBK"/>
          <w:b/>
          <w:spacing w:val="10"/>
          <w:sz w:val="15"/>
        </w:rPr>
        <w:t>本协议终止前，乙方不得将授权指定账户销户。若发生因乙方注销授权指定账户造成理财产品无法正常分配的，乙方承担由此产生的损失。</w:t>
      </w:r>
    </w:p>
    <w:p>
      <w:pPr>
        <w:pStyle w:val="7"/>
        <w:numPr>
          <w:ilvl w:val="0"/>
          <w:numId w:val="7"/>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ascii="方正黑体_GBK" w:hAnsi="方正黑体_GBK" w:eastAsia="方正黑体_GBK" w:cs="方正黑体_GBK"/>
          <w:spacing w:val="10"/>
          <w:sz w:val="15"/>
          <w:szCs w:val="15"/>
        </w:rPr>
        <w:t>。</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乙方应确保其提供的所有资料真实、完整、合法、有效，如果有任何变更，乙方应及时通知甲方</w:t>
      </w:r>
      <w:bookmarkStart w:id="21" w:name="_Hlk41902715"/>
      <w:r>
        <w:rPr>
          <w:rFonts w:hint="eastAsia" w:ascii="方正黑体_GBK" w:hAnsi="方正黑体_GBK" w:eastAsia="方正黑体_GBK" w:cs="方正黑体_GBK"/>
          <w:b/>
          <w:bCs/>
          <w:spacing w:val="10"/>
          <w:sz w:val="15"/>
          <w:szCs w:val="15"/>
        </w:rPr>
        <w:t>或销售机构</w:t>
      </w:r>
      <w:bookmarkEnd w:id="21"/>
      <w:r>
        <w:rPr>
          <w:rFonts w:hint="eastAsia" w:ascii="方正黑体_GBK" w:hAnsi="方正黑体_GBK" w:eastAsia="方正黑体_GBK" w:cs="方正黑体_GBK"/>
          <w:b/>
          <w:bCs/>
          <w:spacing w:val="10"/>
          <w:sz w:val="15"/>
          <w:szCs w:val="15"/>
        </w:rPr>
        <w:t>并办理变更手续。如因乙方未及时通知甲方或销售机构并办理相应的变更手续，由此导致的一切后果由乙方承担。</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乙方承诺，不利用本理财业务及本理财产品说明书项下理财产品从事违法活动。</w:t>
      </w:r>
    </w:p>
    <w:p>
      <w:pPr>
        <w:numPr>
          <w:ilvl w:val="0"/>
          <w:numId w:val="7"/>
        </w:num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ascii="方正黑体_GBK" w:hAnsi="方正黑体_GBK" w:eastAsia="方正黑体_GBK" w:cs="方正黑体_GBK"/>
          <w:spacing w:val="10"/>
          <w:sz w:val="15"/>
          <w:szCs w:val="15"/>
        </w:rPr>
        <w:t>。</w:t>
      </w:r>
    </w:p>
    <w:p>
      <w:pPr>
        <w:numPr>
          <w:ilvl w:val="0"/>
          <w:numId w:val="7"/>
        </w:num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乙方承诺，未经产品管理人同意，乙方不向任何第三人转让、赠与本理财产品说明书或本理财产品说明书项下的任何权利、义务、利益、权益</w:t>
      </w:r>
      <w:r>
        <w:rPr>
          <w:rFonts w:hint="eastAsia" w:ascii="方正黑体_GBK" w:hAnsi="方正黑体_GBK" w:eastAsia="方正黑体_GBK" w:cs="方正黑体_GBK"/>
          <w:spacing w:val="10"/>
          <w:sz w:val="15"/>
          <w:szCs w:val="15"/>
        </w:rPr>
        <w:t>。</w:t>
      </w:r>
      <w:bookmarkStart w:id="22" w:name="_Hlk41902728"/>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ascii="方正黑体_GBK" w:hAnsi="方正黑体_GBK" w:eastAsia="方正黑体_GBK" w:cs="方正黑体_GBK"/>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乙方已充分知悉对应期次理财产品风险等级</w:t>
      </w:r>
      <w:r>
        <w:rPr>
          <w:rFonts w:hint="eastAsia" w:ascii="方正黑体_GBK" w:hAnsi="方正黑体_GBK" w:eastAsia="方正黑体_GBK" w:cs="方正黑体_GBK"/>
          <w:b/>
          <w:bCs/>
          <w:spacing w:val="10"/>
          <w:sz w:val="15"/>
          <w:szCs w:val="15"/>
        </w:rPr>
        <w:t>（该产品通过代理销售机构渠道销售的，理财产品评级应当以代理销售机构最终披露的评级结果为准）</w:t>
      </w:r>
      <w:r>
        <w:rPr>
          <w:rFonts w:hint="eastAsia" w:ascii="方正黑体_GBK" w:hAnsi="方正黑体_GBK" w:eastAsia="方正黑体_GBK" w:cs="方正黑体_GBK"/>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乙方对因购买、持有本理财产品而知悉的甲方及销售机构保密信息承担保密义务，乙方承诺不以任何方式向任何第三方披露甲方的保密信息，法律法规另有规定的除外。</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7"/>
        </w:num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7"/>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法律法规规定及理财产品销售文件中约定的其他权利与义务。</w:t>
      </w:r>
      <w:bookmarkEnd w:id="22"/>
    </w:p>
    <w:p>
      <w:p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5.产品认购或申购、赎回</w:t>
      </w:r>
    </w:p>
    <w:p>
      <w:pPr>
        <w:numPr>
          <w:ilvl w:val="0"/>
          <w:numId w:val="8"/>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理财产品认购或申购：参照《投资者权益须知》约定。</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理财产品认购或申购撤销申请：乙方在理财产品募集期或开放期或投资冷静期（私募产品适用）内，可以撤销理财产品相应的认购或申购申请。</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理财产品投资品种、投资起点金额、收益支付方式：参照对应期次的《理财产品说明书》中的约定。</w:t>
      </w:r>
    </w:p>
    <w:p>
      <w:pPr>
        <w:numPr>
          <w:ilvl w:val="0"/>
          <w:numId w:val="8"/>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理财产品赎回</w:t>
      </w:r>
      <w:bookmarkStart w:id="23" w:name="_Hlk41902781"/>
      <w:r>
        <w:rPr>
          <w:rFonts w:hint="eastAsia" w:ascii="方正黑体_GBK" w:hAnsi="方正黑体_GBK" w:eastAsia="方正黑体_GBK" w:cs="方正黑体_GBK"/>
          <w:spacing w:val="10"/>
          <w:sz w:val="15"/>
          <w:szCs w:val="15"/>
        </w:rPr>
        <w:t>资金支付</w:t>
      </w:r>
      <w:bookmarkEnd w:id="23"/>
      <w:r>
        <w:rPr>
          <w:rFonts w:hint="eastAsia" w:ascii="方正黑体_GBK" w:hAnsi="方正黑体_GBK" w:eastAsia="方正黑体_GBK" w:cs="方正黑体_GBK"/>
          <w:spacing w:val="10"/>
          <w:sz w:val="15"/>
          <w:szCs w:val="15"/>
        </w:rPr>
        <w:t>：在正常情况下，甲方将按照本协议及对应期次的《理财产品说明书》的相关约定</w:t>
      </w:r>
      <w:bookmarkStart w:id="24" w:name="_Hlk41902803"/>
      <w:r>
        <w:rPr>
          <w:rFonts w:hint="eastAsia" w:ascii="方正黑体_GBK" w:hAnsi="方正黑体_GBK" w:eastAsia="方正黑体_GBK" w:cs="方正黑体_GBK"/>
          <w:spacing w:val="10"/>
          <w:sz w:val="15"/>
          <w:szCs w:val="15"/>
        </w:rPr>
        <w:t>进行赎回资金</w:t>
      </w:r>
      <w:bookmarkEnd w:id="24"/>
      <w:r>
        <w:rPr>
          <w:rFonts w:hint="eastAsia" w:ascii="方正黑体_GBK" w:hAnsi="方正黑体_GBK" w:eastAsia="方正黑体_GBK" w:cs="方正黑体_GBK"/>
          <w:spacing w:val="10"/>
          <w:sz w:val="15"/>
          <w:szCs w:val="15"/>
        </w:rPr>
        <w:t>划付。</w:t>
      </w:r>
      <w:r>
        <w:rPr>
          <w:rFonts w:hint="eastAsia" w:ascii="方正黑体_GBK" w:hAnsi="方正黑体_GBK" w:eastAsia="方正黑体_GBK" w:cs="方正黑体_GBK"/>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6.产品的终止</w:t>
      </w:r>
    </w:p>
    <w:p>
      <w:pPr>
        <w:spacing w:line="200" w:lineRule="exact"/>
        <w:ind w:firstLine="300" w:firstLineChars="200"/>
        <w:rPr>
          <w:rFonts w:hint="eastAsia" w:ascii="方正黑体_GBK" w:hAnsi="方正黑体_GBK" w:eastAsia="方正黑体_GBK" w:cs="方正黑体_GBK"/>
          <w:color w:val="3D3D3D"/>
          <w:kern w:val="0"/>
          <w:sz w:val="15"/>
          <w:szCs w:val="15"/>
        </w:rPr>
      </w:pPr>
      <w:r>
        <w:rPr>
          <w:rFonts w:hint="eastAsia" w:ascii="方正黑体_GBK" w:hAnsi="方正黑体_GBK" w:eastAsia="方正黑体_GBK" w:cs="方正黑体_GBK"/>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（1）理财产品提前终止</w:t>
      </w:r>
    </w:p>
    <w:p>
      <w:pPr>
        <w:spacing w:line="200" w:lineRule="exact"/>
        <w:ind w:firstLine="340" w:firstLineChars="20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在理财产品存续期内，如发生以下事项时，南银理财可对本理财产品行使全部提前终止权：</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如因本理财产品资产运作模式、投资资产等与法律法规、规章的规定或者监管部门的要求等存在冲突导致理财产品必须提前终止的；</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国家有关法律、法规、规章、监管规定、政策的改变、紧急措施的出台、理财市场环境发生重大变化等导致理财产品必须提前终止的；</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因不可抗力因素导致本理财产品必须提前终止的；</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遇有市场出现剧烈波动、异常风险事件等情形导致理财产品收益出现大幅波动或严重影响理财产品的资产安全；</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因管理人解散、破产、撤销、被取消业务资格等原因无法继续履行相应职责导致产品无法继续运作；</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理财产品所投资资产部分或全部提前偿付；</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提前终止产品比维持产品运作更有利于保护产品持有人的权益；</w:t>
      </w:r>
    </w:p>
    <w:p>
      <w:pPr>
        <w:pStyle w:val="35"/>
        <w:numPr>
          <w:ilvl w:val="0"/>
          <w:numId w:val="9"/>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南银理财合理认为应该提前终止本理财产品的其他情况。</w:t>
      </w:r>
    </w:p>
    <w:p>
      <w:pPr>
        <w:pStyle w:val="35"/>
        <w:spacing w:line="200" w:lineRule="exact"/>
        <w:ind w:left="340" w:firstLine="0"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南银理财如提前终止本理财产品，应根据本理财产品销售文件约定的方式进行信息披露。</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（2）理财产品的延期终止</w:t>
      </w:r>
    </w:p>
    <w:p>
      <w:pPr>
        <w:spacing w:line="200" w:lineRule="exact"/>
        <w:ind w:left="34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在理财产品存续期内，如发生以下事项时，南银理财有权推迟本理财产品终止日：</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产品到期日遇非工作日，产品到期日顺延至下一工作日；</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因市场成交量不足、资产限制赎回、暂停交易、缺乏意愿交易对手等原因，导致产品所投资的资产无法及时全部变现；</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因资金在途等原因，导致未能及时收回资金；</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因不可抗力等原因，导致管理人无法及时收回资金及/或进行理财资金清算分配的；</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理财产品资产涉及诉讼（或仲裁），且预计诉讼（或仲裁）及执行程序于理财产品名义到期日尚未终结；</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其他管理人认为需要延期的情形；</w:t>
      </w:r>
    </w:p>
    <w:p>
      <w:pPr>
        <w:pStyle w:val="35"/>
        <w:numPr>
          <w:ilvl w:val="0"/>
          <w:numId w:val="10"/>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法律规定的及本理财产品销售文件约定的其他情形。</w:t>
      </w:r>
    </w:p>
    <w:p>
      <w:pPr>
        <w:spacing w:line="200" w:lineRule="exact"/>
        <w:ind w:left="34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spacing w:val="10"/>
          <w:sz w:val="15"/>
          <w:szCs w:val="15"/>
        </w:rPr>
        <w:t>南银理财</w:t>
      </w:r>
      <w:r>
        <w:rPr>
          <w:rFonts w:hint="eastAsia" w:ascii="方正黑体_GBK" w:hAnsi="方正黑体_GBK" w:eastAsia="方正黑体_GBK" w:cs="方正黑体_GBK"/>
          <w:bCs/>
          <w:spacing w:val="10"/>
          <w:sz w:val="15"/>
          <w:szCs w:val="15"/>
        </w:rPr>
        <w:t>如推迟本理财产品到期日，应根据本理财产品销售文件约定的方式进行信息披露。</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 xml:space="preserve">7.产品资产的清算 </w:t>
      </w:r>
    </w:p>
    <w:p>
      <w:pPr>
        <w:spacing w:line="200" w:lineRule="exact"/>
        <w:ind w:firstLine="340"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Cs/>
          <w:spacing w:val="10"/>
          <w:sz w:val="15"/>
          <w:szCs w:val="15"/>
        </w:rPr>
        <w:t>自本理财产品终止日至投资者理财本金及收益到账日之间为本理财产品的清算期，</w:t>
      </w:r>
      <w:r>
        <w:rPr>
          <w:rFonts w:hint="eastAsia" w:ascii="方正黑体_GBK" w:hAnsi="方正黑体_GBK" w:eastAsia="方正黑体_GBK" w:cs="方正黑体_GBK"/>
          <w:b/>
          <w:spacing w:val="10"/>
          <w:sz w:val="15"/>
          <w:szCs w:val="15"/>
        </w:rPr>
        <w:t>清算期不计算利息或投资收益</w:t>
      </w:r>
      <w:r>
        <w:rPr>
          <w:rFonts w:hint="eastAsia" w:ascii="方正黑体_GBK" w:hAnsi="方正黑体_GBK" w:eastAsia="方正黑体_GBK" w:cs="方正黑体_GBK"/>
          <w:bCs/>
          <w:spacing w:val="10"/>
          <w:sz w:val="15"/>
          <w:szCs w:val="15"/>
        </w:rPr>
        <w:t>。</w:t>
      </w:r>
      <w:r>
        <w:rPr>
          <w:rFonts w:hint="eastAsia" w:ascii="方正黑体_GBK" w:hAnsi="方正黑体_GBK" w:eastAsia="方正黑体_GBK" w:cs="方正黑体_GBK"/>
          <w:b/>
          <w:spacing w:val="10"/>
          <w:sz w:val="15"/>
          <w:szCs w:val="15"/>
        </w:rPr>
        <w:t>甲方将根据对应期次《理财产品说明书》的约定将理财产品清算变现，</w:t>
      </w:r>
      <w:r>
        <w:rPr>
          <w:rFonts w:hint="eastAsia" w:ascii="方正黑体_GBK" w:hAnsi="方正黑体_GBK" w:eastAsia="方正黑体_GBK" w:cs="方正黑体_GBK"/>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pPr>
        <w:spacing w:line="200" w:lineRule="exact"/>
        <w:ind w:firstLine="340" w:firstLineChars="20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清算期原则上不得超过5个工作日，因清算期超过5个工作日的，应当在理财产品终止前，将依约定进行公告。</w:t>
      </w:r>
      <w:r>
        <w:rPr>
          <w:rFonts w:hint="eastAsia" w:ascii="方正黑体_GBK" w:hAnsi="方正黑体_GBK" w:eastAsia="方正黑体_GBK" w:cs="方正黑体_GBK"/>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8.特别提示</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在本理财产品存续期内：</w:t>
      </w:r>
    </w:p>
    <w:p>
      <w:pPr>
        <w:numPr>
          <w:ilvl w:val="0"/>
          <w:numId w:val="11"/>
        </w:num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numPr>
          <w:ilvl w:val="0"/>
          <w:numId w:val="11"/>
        </w:num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1"/>
        </w:numPr>
        <w:spacing w:line="200" w:lineRule="exact"/>
        <w:ind w:firstLine="341" w:firstLineChars="20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免责条款</w:t>
      </w:r>
    </w:p>
    <w:p>
      <w:pPr>
        <w:pStyle w:val="35"/>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35"/>
        <w:numPr>
          <w:ilvl w:val="0"/>
          <w:numId w:val="12"/>
        </w:numPr>
        <w:spacing w:line="200" w:lineRule="exact"/>
        <w:ind w:firstLineChars="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bCs w:val="0"/>
          <w:spacing w:val="10"/>
          <w:sz w:val="15"/>
          <w:szCs w:val="15"/>
        </w:rPr>
        <w:t>不可抗力。如果甲方认为由于自然灾害、</w:t>
      </w:r>
      <w:bookmarkStart w:id="25" w:name="_Hlk41903042"/>
      <w:r>
        <w:rPr>
          <w:rFonts w:hint="eastAsia" w:ascii="方正黑体_GBK" w:hAnsi="方正黑体_GBK" w:eastAsia="方正黑体_GBK" w:cs="方正黑体_GBK"/>
          <w:b/>
          <w:bCs w:val="0"/>
          <w:spacing w:val="10"/>
          <w:sz w:val="15"/>
          <w:szCs w:val="15"/>
        </w:rPr>
        <w:t>地震、台风、海啸、洪水、火灾、停电、突发性公共卫生事件、</w:t>
      </w:r>
      <w:bookmarkEnd w:id="25"/>
      <w:bookmarkStart w:id="26" w:name="_Hlk41862861"/>
      <w:r>
        <w:rPr>
          <w:rFonts w:hint="eastAsia" w:ascii="方正黑体_GBK" w:hAnsi="方正黑体_GBK" w:eastAsia="方正黑体_GBK" w:cs="方正黑体_GBK"/>
          <w:b/>
          <w:bCs w:val="0"/>
          <w:spacing w:val="10"/>
          <w:sz w:val="15"/>
          <w:szCs w:val="15"/>
        </w:rPr>
        <w:t>罢工、内战、战争、军事行动、任何种类的恐怖活动、暴动、公众示威或抗议</w:t>
      </w:r>
      <w:bookmarkEnd w:id="26"/>
      <w:bookmarkStart w:id="27" w:name="_Hlk41903076"/>
      <w:r>
        <w:rPr>
          <w:rFonts w:hint="eastAsia" w:ascii="方正黑体_GBK" w:hAnsi="方正黑体_GBK" w:eastAsia="方正黑体_GBK" w:cs="方正黑体_GBK"/>
          <w:b/>
          <w:bCs w:val="0"/>
          <w:spacing w:val="10"/>
          <w:sz w:val="15"/>
          <w:szCs w:val="15"/>
        </w:rPr>
        <w:t>；新的适用法律或国家政策的颁布或实施、对原适用法律或国家政策的修改；</w:t>
      </w:r>
      <w:bookmarkEnd w:id="27"/>
      <w:bookmarkStart w:id="28" w:name="_Hlk41862959"/>
      <w:r>
        <w:rPr>
          <w:rFonts w:hint="eastAsia" w:ascii="方正黑体_GBK" w:hAnsi="方正黑体_GBK" w:eastAsia="方正黑体_GBK" w:cs="方正黑体_GBK"/>
          <w:b/>
          <w:bCs w:val="0"/>
          <w:spacing w:val="10"/>
          <w:sz w:val="15"/>
          <w:szCs w:val="15"/>
        </w:rPr>
        <w:t>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w:t>
      </w:r>
      <w:bookmarkEnd w:id="28"/>
      <w:r>
        <w:rPr>
          <w:rFonts w:hint="eastAsia" w:ascii="方正黑体_GBK" w:hAnsi="方正黑体_GBK" w:eastAsia="方正黑体_GBK" w:cs="方正黑体_GBK"/>
          <w:b/>
          <w:bCs w:val="0"/>
          <w:spacing w:val="10"/>
          <w:sz w:val="15"/>
          <w:szCs w:val="15"/>
        </w:rPr>
        <w:t>；</w:t>
      </w:r>
      <w:bookmarkStart w:id="29" w:name="_Hlk41903087"/>
      <w:r>
        <w:rPr>
          <w:rFonts w:hint="eastAsia" w:ascii="方正黑体_GBK" w:hAnsi="方正黑体_GBK" w:eastAsia="方正黑体_GBK" w:cs="方正黑体_GBK"/>
          <w:b/>
          <w:bCs w:val="0"/>
          <w:spacing w:val="10"/>
          <w:sz w:val="15"/>
          <w:szCs w:val="15"/>
        </w:rPr>
        <w:t>因理财产品各方和/或其关联方运营网络系统遭受黑客攻击、电信部门技术调整或故障等原因而造成的理财产品各方和/或其关联方之服务、营业的中断或者延迟;</w:t>
      </w:r>
      <w:bookmarkEnd w:id="29"/>
      <w:r>
        <w:rPr>
          <w:rFonts w:hint="eastAsia" w:ascii="方正黑体_GBK" w:hAnsi="方正黑体_GBK" w:eastAsia="方正黑体_GBK" w:cs="方正黑体_GBK"/>
          <w:b/>
          <w:bCs w:val="0"/>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pPr>
        <w:pStyle w:val="35"/>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pPr>
        <w:pStyle w:val="35"/>
        <w:numPr>
          <w:ilvl w:val="0"/>
          <w:numId w:val="12"/>
        </w:numPr>
        <w:spacing w:line="200" w:lineRule="exact"/>
        <w:ind w:firstLineChars="0"/>
        <w:rPr>
          <w:rFonts w:hint="eastAsia" w:ascii="方正黑体_GBK" w:hAnsi="方正黑体_GBK" w:eastAsia="方正黑体_GBK" w:cs="方正黑体_GBK"/>
          <w:b/>
          <w:bCs w:val="0"/>
          <w:spacing w:val="10"/>
          <w:sz w:val="15"/>
          <w:szCs w:val="15"/>
        </w:rPr>
      </w:pPr>
      <w:r>
        <w:rPr>
          <w:rFonts w:hint="eastAsia" w:ascii="方正黑体_GBK" w:hAnsi="方正黑体_GBK" w:eastAsia="方正黑体_GBK" w:cs="方正黑体_GBK"/>
          <w:b/>
          <w:bCs w:val="0"/>
          <w:spacing w:val="10"/>
          <w:sz w:val="15"/>
          <w:szCs w:val="15"/>
        </w:rPr>
        <w:t>本理财产品销售文件项下理财业务不受销售机构存款保险机制或其他保障机制保障。</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赔偿</w:t>
      </w:r>
      <w:r>
        <w:rPr>
          <w:rFonts w:hint="eastAsia" w:ascii="方正黑体_GBK" w:hAnsi="方正黑体_GBK" w:eastAsia="方正黑体_GBK" w:cs="方正黑体_GBK"/>
          <w:spacing w:val="10"/>
          <w:sz w:val="15"/>
          <w:szCs w:val="15"/>
        </w:rPr>
        <w:t>及责任限制</w:t>
      </w:r>
    </w:p>
    <w:p>
      <w:pPr>
        <w:spacing w:line="200" w:lineRule="exact"/>
        <w:ind w:firstLine="340" w:firstLineChars="200"/>
        <w:rPr>
          <w:rFonts w:hint="eastAsia" w:ascii="方正黑体_GBK" w:hAnsi="方正黑体_GBK" w:eastAsia="方正黑体_GBK" w:cs="方正黑体_GBK"/>
          <w:spacing w:val="10"/>
          <w:sz w:val="15"/>
          <w:szCs w:val="15"/>
        </w:rPr>
      </w:pPr>
      <w:bookmarkStart w:id="30" w:name="_Hlk50135417"/>
      <w:r>
        <w:rPr>
          <w:rFonts w:hint="eastAsia" w:ascii="方正黑体_GBK" w:hAnsi="方正黑体_GBK" w:eastAsia="方正黑体_GBK" w:cs="方正黑体_GBK"/>
          <w:spacing w:val="10"/>
          <w:sz w:val="15"/>
          <w:szCs w:val="15"/>
        </w:rPr>
        <w:t>由于本协议一方当事人的过错，造成本协议不能履行或不能完全履行的，由有过错的一方承担违约责任；如双方同时负有过错，则应由双方各自按照过错程度承担责任。</w:t>
      </w:r>
      <w:bookmarkEnd w:id="30"/>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ascii="方正黑体_GBK" w:hAnsi="方正黑体_GBK" w:eastAsia="方正黑体_GBK" w:cs="方正黑体_GBK"/>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ascii="方正黑体_GBK" w:hAnsi="方正黑体_GBK" w:eastAsia="方正黑体_GBK" w:cs="方正黑体_GBK"/>
          <w:spacing w:val="10"/>
          <w:sz w:val="15"/>
          <w:szCs w:val="15"/>
        </w:rPr>
        <w:t>。</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抵销</w:t>
      </w:r>
    </w:p>
    <w:p>
      <w:pPr>
        <w:pStyle w:val="35"/>
        <w:numPr>
          <w:ilvl w:val="0"/>
          <w:numId w:val="13"/>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ascii="方正黑体_GBK" w:hAnsi="方正黑体_GBK" w:eastAsia="方正黑体_GBK" w:cs="方正黑体_GBK"/>
          <w:bCs/>
          <w:spacing w:val="10"/>
          <w:sz w:val="15"/>
          <w:szCs w:val="15"/>
        </w:rPr>
        <w:t>。</w:t>
      </w:r>
    </w:p>
    <w:p>
      <w:pPr>
        <w:pStyle w:val="35"/>
        <w:numPr>
          <w:ilvl w:val="0"/>
          <w:numId w:val="13"/>
        </w:numPr>
        <w:spacing w:line="200" w:lineRule="exact"/>
        <w:ind w:firstLineChars="0"/>
        <w:rPr>
          <w:rFonts w:hint="eastAsia" w:ascii="方正黑体_GBK" w:hAnsi="方正黑体_GBK" w:eastAsia="方正黑体_GBK" w:cs="方正黑体_GBK"/>
          <w:bCs/>
          <w:spacing w:val="10"/>
          <w:sz w:val="15"/>
          <w:szCs w:val="15"/>
        </w:rPr>
      </w:pPr>
      <w:r>
        <w:rPr>
          <w:rFonts w:hint="eastAsia" w:ascii="方正黑体_GBK" w:hAnsi="方正黑体_GBK" w:eastAsia="方正黑体_GBK" w:cs="方正黑体_GBK"/>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Cs/>
          <w:spacing w:val="10"/>
          <w:sz w:val="15"/>
          <w:szCs w:val="15"/>
        </w:rPr>
        <w:t>弃权</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可分割性</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协议的任何条款在任何方面的非法、无效或不可强制执行，不影响协议的其他条款的合法性、有效性或可强制执行。</w:t>
      </w:r>
    </w:p>
    <w:p>
      <w:pPr>
        <w:numPr>
          <w:ilvl w:val="0"/>
          <w:numId w:val="11"/>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税收条款</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以对应期次的《理财产品说明书》约定的税务处理方式为准，如遇国家政策调整则相应执行最新政策。</w:t>
      </w:r>
    </w:p>
    <w:p>
      <w:pPr>
        <w:spacing w:line="200" w:lineRule="exact"/>
        <w:ind w:firstLine="341"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b/>
          <w:bCs/>
          <w:spacing w:val="10"/>
          <w:sz w:val="15"/>
          <w:szCs w:val="15"/>
        </w:rPr>
        <w:t>9.争议处理</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本协议在履行过程中发生争议，可以通过协商解决；协商不成的，任何一方有权向甲方所在地有管辖权的人民法院提起诉讼。</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10.协议的生效和终止</w:t>
      </w:r>
    </w:p>
    <w:p>
      <w:pPr>
        <w:numPr>
          <w:ilvl w:val="0"/>
          <w:numId w:val="14"/>
        </w:numPr>
        <w:spacing w:line="200" w:lineRule="exact"/>
        <w:ind w:firstLine="34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ascii="方正黑体_GBK" w:hAnsi="方正黑体_GBK" w:eastAsia="方正黑体_GBK" w:cs="方正黑体_GBK"/>
          <w:b/>
          <w:bCs/>
          <w:spacing w:val="10"/>
          <w:sz w:val="15"/>
          <w:szCs w:val="15"/>
        </w:rPr>
        <w:t>电子渠道所生成和保留记载的相关电子数据及交易记录以及销售机构、托管机构、甲方制作或保留的相关电子及纸质单据、凭证、记录等相关资料,构成有效证明甲乙双方之间权利义务关系的确定证据，乙方无条件认可电子数据的有效性和证据效力。</w:t>
      </w:r>
    </w:p>
    <w:p>
      <w:pPr>
        <w:numPr>
          <w:ilvl w:val="0"/>
          <w:numId w:val="14"/>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pPr>
        <w:numPr>
          <w:ilvl w:val="0"/>
          <w:numId w:val="14"/>
        </w:numPr>
        <w:spacing w:line="200" w:lineRule="exact"/>
        <w:ind w:firstLine="340" w:firstLineChars="2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11.乙方声明</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ascii="方正黑体_GBK" w:hAnsi="方正黑体_GBK" w:eastAsia="方正黑体_GBK" w:cs="方正黑体_GBK"/>
          <w:b/>
          <w:bCs/>
          <w:spacing w:val="10"/>
          <w:sz w:val="15"/>
          <w:szCs w:val="15"/>
        </w:rPr>
        <w:t>《投资者权益须知》</w:t>
      </w:r>
      <w:r>
        <w:rPr>
          <w:rFonts w:hint="eastAsia" w:ascii="方正黑体_GBK" w:hAnsi="方正黑体_GBK" w:eastAsia="方正黑体_GBK" w:cs="方正黑体_GBK"/>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1" w:firstLineChars="200"/>
        <w:rPr>
          <w:rFonts w:hint="eastAsia" w:ascii="方正黑体_GBK" w:hAnsi="方正黑体_GBK" w:eastAsia="方正黑体_GBK" w:cs="方正黑体_GBK"/>
          <w:b/>
          <w:spacing w:val="10"/>
          <w:sz w:val="15"/>
          <w:szCs w:val="15"/>
        </w:rPr>
      </w:pPr>
      <w:r>
        <w:rPr>
          <w:rFonts w:hint="eastAsia" w:ascii="方正黑体_GBK" w:hAnsi="方正黑体_GBK" w:eastAsia="方正黑体_GBK" w:cs="方正黑体_GBK"/>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1" w:firstLineChars="200"/>
        <w:rPr>
          <w:rFonts w:hint="eastAsia" w:ascii="方正黑体_GBK" w:hAnsi="方正黑体_GBK" w:eastAsia="方正黑体_GBK" w:cs="方正黑体_GBK"/>
          <w:b/>
          <w:bCs/>
          <w:spacing w:val="10"/>
          <w:sz w:val="15"/>
          <w:szCs w:val="15"/>
        </w:rPr>
      </w:pPr>
      <w:r>
        <w:rPr>
          <w:rFonts w:hint="eastAsia" w:ascii="方正黑体_GBK" w:hAnsi="方正黑体_GBK" w:eastAsia="方正黑体_GBK" w:cs="方正黑体_GBK"/>
          <w:b/>
          <w:bCs/>
          <w:spacing w:val="10"/>
          <w:sz w:val="15"/>
          <w:szCs w:val="15"/>
        </w:rPr>
        <w:t>12.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ind w:firstLine="340" w:firstLineChars="200"/>
        <w:rPr>
          <w:rFonts w:hint="eastAsia" w:ascii="方正黑体_GBK" w:hAnsi="方正黑体_GBK" w:eastAsia="方正黑体_GBK" w:cs="方正黑体_GBK"/>
          <w:spacing w:val="10"/>
          <w:sz w:val="15"/>
          <w:szCs w:val="15"/>
        </w:rPr>
      </w:pPr>
    </w:p>
    <w:tbl>
      <w:tblPr>
        <w:tblStyle w:val="16"/>
        <w:tblW w:w="0" w:type="auto"/>
        <w:tblInd w:w="0" w:type="dxa"/>
        <w:tblLayout w:type="fixed"/>
        <w:tblCellMar>
          <w:top w:w="0" w:type="dxa"/>
          <w:left w:w="108" w:type="dxa"/>
          <w:bottom w:w="0" w:type="dxa"/>
          <w:right w:w="108" w:type="dxa"/>
        </w:tblCellMar>
      </w:tblPr>
      <w:tblGrid>
        <w:gridCol w:w="5341"/>
        <w:gridCol w:w="5341"/>
      </w:tblGrid>
      <w:tr>
        <w:tc>
          <w:tcPr>
            <w:tcW w:w="5341" w:type="dxa"/>
            <w:noWrap w:val="0"/>
            <w:vAlign w:val="top"/>
          </w:tcPr>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个人投资者（如适用）：</w:t>
            </w:r>
          </w:p>
        </w:tc>
        <w:tc>
          <w:tcPr>
            <w:tcW w:w="5341" w:type="dxa"/>
            <w:noWrap w:val="0"/>
            <w:vAlign w:val="top"/>
          </w:tcPr>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机构投资者（如适用）：</w:t>
            </w:r>
          </w:p>
        </w:tc>
      </w:tr>
      <w:tr>
        <w:tc>
          <w:tcPr>
            <w:tcW w:w="5341" w:type="dxa"/>
            <w:noWrap w:val="0"/>
            <w:vAlign w:val="top"/>
          </w:tcPr>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投资者：（签名）</w:t>
            </w:r>
          </w:p>
          <w:p>
            <w:pPr>
              <w:spacing w:line="200" w:lineRule="exact"/>
              <w:ind w:firstLine="680" w:firstLineChars="400"/>
              <w:rPr>
                <w:rFonts w:hint="eastAsia" w:ascii="方正黑体_GBK" w:hAnsi="方正黑体_GBK" w:eastAsia="方正黑体_GBK" w:cs="方正黑体_GBK"/>
                <w:spacing w:val="10"/>
                <w:sz w:val="15"/>
                <w:szCs w:val="15"/>
              </w:rPr>
            </w:pPr>
          </w:p>
          <w:p>
            <w:pPr>
              <w:spacing w:line="200" w:lineRule="exact"/>
              <w:ind w:firstLine="850" w:firstLineChars="500"/>
              <w:rPr>
                <w:rFonts w:hint="eastAsia" w:ascii="方正黑体_GBK" w:hAnsi="方正黑体_GBK" w:eastAsia="方正黑体_GBK" w:cs="方正黑体_GBK"/>
                <w:spacing w:val="10"/>
                <w:sz w:val="15"/>
                <w:szCs w:val="15"/>
              </w:rPr>
            </w:pPr>
          </w:p>
          <w:p>
            <w:pPr>
              <w:spacing w:line="200" w:lineRule="exact"/>
              <w:ind w:firstLine="850" w:firstLineChars="5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年  月  日</w:t>
            </w:r>
          </w:p>
        </w:tc>
        <w:tc>
          <w:tcPr>
            <w:tcW w:w="5341" w:type="dxa"/>
            <w:noWrap w:val="0"/>
            <w:vAlign w:val="top"/>
          </w:tcPr>
          <w:p>
            <w:pPr>
              <w:spacing w:line="200" w:lineRule="exact"/>
              <w:ind w:firstLine="340" w:firstLineChars="200"/>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投资者：（公章或合同专用章）</w:t>
            </w:r>
          </w:p>
          <w:p>
            <w:pPr>
              <w:spacing w:line="200" w:lineRule="exact"/>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p>
          <w:p>
            <w:pPr>
              <w:spacing w:line="200" w:lineRule="exact"/>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法定代表人或授权代理人：（签名或盖章）</w:t>
            </w:r>
          </w:p>
          <w:p>
            <w:pPr>
              <w:spacing w:line="200" w:lineRule="exact"/>
              <w:ind w:firstLine="680" w:firstLineChars="400"/>
              <w:rPr>
                <w:rFonts w:hint="eastAsia" w:ascii="方正黑体_GBK" w:hAnsi="方正黑体_GBK" w:eastAsia="方正黑体_GBK" w:cs="方正黑体_GBK"/>
                <w:spacing w:val="10"/>
                <w:sz w:val="15"/>
                <w:szCs w:val="15"/>
              </w:rPr>
            </w:pPr>
          </w:p>
          <w:p>
            <w:pPr>
              <w:spacing w:line="200" w:lineRule="exact"/>
              <w:ind w:firstLine="680" w:firstLineChars="400"/>
              <w:rPr>
                <w:rFonts w:hint="eastAsia" w:ascii="方正黑体_GBK" w:hAnsi="方正黑体_GBK" w:eastAsia="方正黑体_GBK" w:cs="方正黑体_GBK"/>
                <w:spacing w:val="10"/>
                <w:sz w:val="15"/>
                <w:szCs w:val="15"/>
              </w:rPr>
            </w:pPr>
            <w:r>
              <w:rPr>
                <w:rFonts w:hint="eastAsia" w:ascii="方正黑体_GBK" w:hAnsi="方正黑体_GBK" w:eastAsia="方正黑体_GBK" w:cs="方正黑体_GBK"/>
                <w:spacing w:val="10"/>
                <w:sz w:val="15"/>
                <w:szCs w:val="15"/>
              </w:rPr>
              <w:t>年  月  日</w:t>
            </w:r>
          </w:p>
        </w:tc>
      </w:tr>
    </w:tbl>
    <w:p>
      <w:pPr>
        <w:spacing w:line="200" w:lineRule="exact"/>
        <w:rPr>
          <w:rFonts w:hint="eastAsia" w:ascii="方正黑体_GBK" w:hAnsi="方正黑体_GBK" w:eastAsia="方正黑体_GBK" w:cs="方正黑体_GBK"/>
          <w:spacing w:val="10"/>
          <w:sz w:val="15"/>
          <w:szCs w:val="15"/>
        </w:rPr>
        <w:sectPr>
          <w:pgSz w:w="11906" w:h="16838"/>
          <w:pgMar w:top="720" w:right="720" w:bottom="720" w:left="720" w:header="510" w:footer="624" w:gutter="0"/>
          <w:cols w:space="720" w:num="1"/>
          <w:docGrid w:type="lines" w:linePitch="312" w:charSpace="0"/>
        </w:sectPr>
      </w:pPr>
    </w:p>
    <w:p>
      <w:pPr>
        <w:widowControl/>
        <w:jc w:val="center"/>
        <w:rPr>
          <w:rFonts w:hint="eastAsia" w:ascii="方正黑体_GBK" w:hAnsi="方正黑体_GBK" w:eastAsia="方正黑体_GBK" w:cs="方正黑体_GBK"/>
          <w:b/>
          <w:bCs/>
          <w:szCs w:val="21"/>
        </w:rPr>
      </w:pPr>
      <w:r>
        <w:rPr>
          <w:rFonts w:hint="eastAsia" w:ascii="方正黑体_GBK" w:hAnsi="方正黑体_GBK" w:eastAsia="方正黑体_GBK" w:cs="方正黑体_GBK"/>
          <w:szCs w:val="21"/>
        </w:rPr>
        <w:t>南银理财有限责任公司理财产品业务申请表</w:t>
      </w:r>
    </w:p>
    <w:tbl>
      <w:tblPr>
        <w:tblStyle w:val="16"/>
        <w:tblW w:w="10791" w:type="dxa"/>
        <w:jc w:val="center"/>
        <w:tblLayout w:type="fixed"/>
        <w:tblCellMar>
          <w:top w:w="0" w:type="dxa"/>
          <w:left w:w="108" w:type="dxa"/>
          <w:bottom w:w="0" w:type="dxa"/>
          <w:right w:w="108" w:type="dxa"/>
        </w:tblCellMar>
      </w:tblPr>
      <w:tblGrid>
        <w:gridCol w:w="2499"/>
        <w:gridCol w:w="3179"/>
        <w:gridCol w:w="1983"/>
        <w:gridCol w:w="3130"/>
      </w:tblGrid>
      <w:tr>
        <w:tblPrEx>
          <w:tblCellMar>
            <w:top w:w="0" w:type="dxa"/>
            <w:left w:w="108" w:type="dxa"/>
            <w:bottom w:w="0" w:type="dxa"/>
            <w:right w:w="108" w:type="dxa"/>
          </w:tblCellMar>
        </w:tblPrEx>
        <w:trPr>
          <w:trHeight w:val="420"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投资者名称</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w:t>
            </w:r>
          </w:p>
        </w:tc>
      </w:tr>
      <w:tr>
        <w:tblPrEx>
          <w:tblCellMar>
            <w:top w:w="0" w:type="dxa"/>
            <w:left w:w="108" w:type="dxa"/>
            <w:bottom w:w="0" w:type="dxa"/>
            <w:right w:w="108" w:type="dxa"/>
          </w:tblCellMar>
        </w:tblPrEx>
        <w:trPr>
          <w:trHeight w:val="507"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授权指定账户名称1</w:t>
            </w:r>
          </w:p>
        </w:tc>
        <w:tc>
          <w:tcPr>
            <w:tcW w:w="8292"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□出款     □入款</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授权指定账号1</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开户行1</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授权指定账号名称2（如需）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□出款     □入款</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授权指定账号2（如需）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开户行2（如需）</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64"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【根据产品自行定义添加，但涉及设立、变更、终止民事权利义务关系的条款的，应报法审。】</w:t>
            </w:r>
          </w:p>
        </w:tc>
        <w:tc>
          <w:tcPr>
            <w:tcW w:w="8292" w:type="dxa"/>
            <w:gridSpan w:val="3"/>
            <w:tcBorders>
              <w:top w:val="single" w:color="auto" w:sz="4" w:space="0"/>
              <w:left w:val="nil"/>
              <w:bottom w:val="single" w:color="auto" w:sz="4" w:space="0"/>
              <w:right w:val="single" w:color="auto" w:sz="4" w:space="0"/>
            </w:tcBorders>
            <w:noWrap w:val="0"/>
            <w:vAlign w:val="top"/>
          </w:tcPr>
          <w:p>
            <w:pPr>
              <w:spacing w:line="240" w:lineRule="exact"/>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551"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交易种类</w:t>
            </w:r>
          </w:p>
        </w:tc>
        <w:tc>
          <w:tcPr>
            <w:tcW w:w="8292" w:type="dxa"/>
            <w:gridSpan w:val="3"/>
            <w:tcBorders>
              <w:top w:val="single" w:color="auto" w:sz="4" w:space="0"/>
              <w:left w:val="nil"/>
              <w:bottom w:val="single" w:color="auto" w:sz="4" w:space="0"/>
              <w:right w:val="single" w:color="000000"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□认/申购     □赎回     □撤单认/申购   □撤单赎回  □其他</w:t>
            </w:r>
          </w:p>
        </w:tc>
      </w:tr>
      <w:tr>
        <w:tblPrEx>
          <w:tblCellMar>
            <w:top w:w="0" w:type="dxa"/>
            <w:left w:w="108" w:type="dxa"/>
            <w:bottom w:w="0" w:type="dxa"/>
            <w:right w:w="108" w:type="dxa"/>
          </w:tblCellMar>
        </w:tblPrEx>
        <w:trPr>
          <w:trHeight w:val="49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业绩比较基准</w:t>
            </w:r>
          </w:p>
        </w:tc>
        <w:tc>
          <w:tcPr>
            <w:tcW w:w="8292" w:type="dxa"/>
            <w:gridSpan w:val="3"/>
            <w:tcBorders>
              <w:top w:val="single" w:color="auto" w:sz="4" w:space="0"/>
              <w:left w:val="nil"/>
              <w:bottom w:val="single" w:color="auto" w:sz="4" w:space="0"/>
              <w:right w:val="single" w:color="000000" w:sz="4" w:space="0"/>
            </w:tcBorders>
            <w:noWrap w:val="0"/>
            <w:vAlign w:val="top"/>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以对应期次的理财产品说明书为准（特别提示：理财产品业绩比较基准不代表其未来表现，不等于理财产品实际收益，投资须谨慎）</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理财产品名称</w:t>
            </w:r>
          </w:p>
        </w:tc>
        <w:tc>
          <w:tcPr>
            <w:tcW w:w="3179"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c>
          <w:tcPr>
            <w:tcW w:w="1983"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理财产品代码</w:t>
            </w:r>
          </w:p>
        </w:tc>
        <w:tc>
          <w:tcPr>
            <w:tcW w:w="3130" w:type="dxa"/>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理财产品发行人</w:t>
            </w:r>
          </w:p>
        </w:tc>
        <w:tc>
          <w:tcPr>
            <w:tcW w:w="8292" w:type="dxa"/>
            <w:gridSpan w:val="3"/>
            <w:tcBorders>
              <w:top w:val="nil"/>
              <w:left w:val="nil"/>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522" w:hRule="atLeast"/>
          <w:jc w:val="center"/>
        </w:trPr>
        <w:tc>
          <w:tcPr>
            <w:tcW w:w="2499"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产品风险等级（甲方填写）</w:t>
            </w:r>
          </w:p>
        </w:tc>
        <w:tc>
          <w:tcPr>
            <w:tcW w:w="8292" w:type="dxa"/>
            <w:gridSpan w:val="3"/>
            <w:tcBorders>
              <w:top w:val="single" w:color="auto" w:sz="4" w:space="0"/>
              <w:left w:val="nil"/>
              <w:bottom w:val="single" w:color="auto" w:sz="4" w:space="0"/>
              <w:right w:val="single" w:color="000000"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□低       □  中低        □ 中等        □ 中高     □高</w:t>
            </w:r>
          </w:p>
        </w:tc>
      </w:tr>
      <w:tr>
        <w:tblPrEx>
          <w:tblCellMar>
            <w:top w:w="0" w:type="dxa"/>
            <w:left w:w="108" w:type="dxa"/>
            <w:bottom w:w="0" w:type="dxa"/>
            <w:right w:w="108" w:type="dxa"/>
          </w:tblCellMar>
        </w:tblPrEx>
        <w:trPr>
          <w:trHeight w:val="493"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交易币种</w:t>
            </w:r>
          </w:p>
        </w:tc>
        <w:tc>
          <w:tcPr>
            <w:tcW w:w="31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交易金额/份额</w:t>
            </w:r>
          </w:p>
        </w:tc>
        <w:tc>
          <w:tcPr>
            <w:tcW w:w="31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    </w:t>
            </w:r>
          </w:p>
        </w:tc>
      </w:tr>
      <w:tr>
        <w:tblPrEx>
          <w:tblCellMar>
            <w:top w:w="0" w:type="dxa"/>
            <w:left w:w="108" w:type="dxa"/>
            <w:bottom w:w="0" w:type="dxa"/>
            <w:right w:w="108" w:type="dxa"/>
          </w:tblCellMar>
        </w:tblPrEx>
        <w:trPr>
          <w:trHeight w:val="493" w:hRule="atLeast"/>
          <w:jc w:val="center"/>
        </w:trPr>
        <w:tc>
          <w:tcPr>
            <w:tcW w:w="24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黑体_GBK" w:hAnsi="方正黑体_GBK" w:eastAsia="方正黑体_GBK" w:cs="方正黑体_GBK"/>
                <w:szCs w:val="21"/>
              </w:rPr>
            </w:pPr>
            <w:r>
              <w:rPr>
                <w:rFonts w:hint="eastAsia" w:ascii="方正黑体_GBK" w:hAnsi="方正黑体_GBK" w:eastAsia="方正黑体_GBK" w:cs="方正黑体_GBK"/>
                <w:sz w:val="20"/>
                <w:szCs w:val="20"/>
              </w:rPr>
              <w:t>划款须知</w:t>
            </w:r>
          </w:p>
        </w:tc>
        <w:tc>
          <w:tcPr>
            <w:tcW w:w="829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投资者应在认购或申购划款日（理财产品销售文件规定的交易时间内）将资金划转至以下账户：</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户名：   </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账号：   </w:t>
            </w:r>
          </w:p>
          <w:p>
            <w:pPr>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开户行：    </w:t>
            </w:r>
          </w:p>
        </w:tc>
      </w:tr>
    </w:tbl>
    <w:p>
      <w:pPr>
        <w:spacing w:line="240" w:lineRule="exact"/>
        <w:rPr>
          <w:rFonts w:hint="eastAsia" w:ascii="方正黑体_GBK" w:hAnsi="方正黑体_GBK" w:eastAsia="方正黑体_GBK" w:cs="方正黑体_GBK"/>
          <w:sz w:val="20"/>
          <w:szCs w:val="20"/>
        </w:rPr>
      </w:pPr>
    </w:p>
    <w:p>
      <w:pPr>
        <w:numPr>
          <w:ilvl w:val="0"/>
          <w:numId w:val="15"/>
        </w:num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乙方是一家按照中国法律正式注册并有效存续的法人或其他组织，具有拥有和支配其财产以及继续进行其正在进行之业务的全部权力和授权，已仔细阅读本理财产品销售文件（包括但不限于《理财产品说明书》《理财产品风险揭示书》《投资者权益须知》《理财产品销售协议书》《理财产品投资协议书》）内容，并认可理财产品销售文件的约定。</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2、乙方确认，南银理财已经以乙方能够理解的方式对该理财产品的基本特征、交易规则、风险评级、投资期限和范围、相关收益及风险（具体风险已在销售文件中揭示）、投资者权利义务、信息披露内容及方式等进行了充分的揭示与说明。乙方已知悉并理解前述内容。</w:t>
      </w: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3、乙方自愿办理该理财产品的交易，保证填写的信息资料真实、准确、完整、有效，并确认业务申请表填写正确无误。</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南银理财有限责任公司（盖章）：</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日期：  年  月  日</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r>
        <w:rPr>
          <w:rFonts w:hint="eastAsia" w:ascii="方正黑体_GBK" w:hAnsi="方正黑体_GBK" w:eastAsia="方正黑体_GBK" w:cs="方正黑体_GBK"/>
          <w:sz w:val="20"/>
          <w:szCs w:val="20"/>
        </w:rPr>
        <w:t xml:space="preserve">投资者（盖章）：   </w:t>
      </w: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pPr>
    </w:p>
    <w:p>
      <w:pPr>
        <w:spacing w:line="240" w:lineRule="exact"/>
        <w:rPr>
          <w:rFonts w:hint="eastAsia" w:ascii="方正黑体_GBK" w:hAnsi="方正黑体_GBK" w:eastAsia="方正黑体_GBK" w:cs="方正黑体_GBK"/>
          <w:sz w:val="20"/>
          <w:szCs w:val="20"/>
        </w:rPr>
        <w:sectPr>
          <w:pgSz w:w="11906" w:h="16838"/>
          <w:pgMar w:top="720" w:right="720" w:bottom="720" w:left="720" w:header="510" w:footer="624" w:gutter="0"/>
          <w:cols w:space="720" w:num="1"/>
          <w:docGrid w:type="lines" w:linePitch="312" w:charSpace="0"/>
        </w:sectPr>
      </w:pPr>
      <w:r>
        <w:rPr>
          <w:rFonts w:hint="eastAsia" w:ascii="方正黑体_GBK" w:hAnsi="方正黑体_GBK" w:eastAsia="方正黑体_GBK" w:cs="方正黑体_GBK"/>
          <w:sz w:val="20"/>
          <w:szCs w:val="20"/>
        </w:rPr>
        <w:t>日期：  年  月  日</w:t>
      </w:r>
    </w:p>
    <w:p>
      <w:pPr>
        <w:pStyle w:val="36"/>
        <w:spacing w:line="300" w:lineRule="auto"/>
        <w:ind w:firstLine="0" w:firstLineChars="0"/>
        <w:jc w:val="center"/>
        <w:rPr>
          <w:rFonts w:hint="eastAsia" w:ascii="方正黑体_GBK" w:hAnsi="方正黑体_GBK" w:eastAsia="方正黑体_GBK" w:cs="方正黑体_GBK"/>
          <w:b/>
          <w:sz w:val="24"/>
          <w:szCs w:val="24"/>
        </w:rPr>
      </w:pPr>
      <w:r>
        <w:rPr>
          <w:rFonts w:hint="eastAsia" w:ascii="方正黑体_GBK" w:hAnsi="方正黑体_GBK" w:eastAsia="方正黑体_GBK" w:cs="方正黑体_GBK"/>
          <w:b/>
          <w:kern w:val="0"/>
          <w:sz w:val="24"/>
          <w:szCs w:val="24"/>
        </w:rPr>
        <w:t>理财产品投资协议书</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经南银理财有限责任公司（下称“甲方”或“理财产品管理人”）与投资者（下称“乙方”）协商一致，就乙方购买的对应期次理财产品投资事宜，达成如下协议：</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一、重要提示</w:t>
      </w:r>
    </w:p>
    <w:p>
      <w:pPr>
        <w:pStyle w:val="36"/>
        <w:spacing w:line="300" w:lineRule="auto"/>
        <w:ind w:firstLine="440" w:firstLineChars="0"/>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sz w:val="15"/>
          <w:szCs w:val="15"/>
        </w:rPr>
        <w:t>理财非存款、产品有风险、投资须谨慎。</w:t>
      </w:r>
      <w:r>
        <w:rPr>
          <w:rFonts w:hint="eastAsia" w:ascii="方正黑体_GBK" w:hAnsi="方正黑体_GBK" w:eastAsia="方正黑体_GBK" w:cs="方正黑体_GBK"/>
          <w:sz w:val="15"/>
          <w:szCs w:val="15"/>
        </w:rPr>
        <w:t>理财产品面临的风险详见对应期次《理财产品风险揭示书》和《理财产品说明书》的详细条款，乙方应仔细阅读并充分理解对应期次理财产品可能发生的风险。</w:t>
      </w:r>
    </w:p>
    <w:p>
      <w:pPr>
        <w:pStyle w:val="36"/>
        <w:numPr>
          <w:ilvl w:val="0"/>
          <w:numId w:val="0"/>
        </w:numPr>
        <w:spacing w:line="300" w:lineRule="auto"/>
        <w:ind w:firstLine="442"/>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bCs/>
          <w:sz w:val="15"/>
          <w:szCs w:val="15"/>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pPr>
        <w:pStyle w:val="36"/>
        <w:spacing w:line="300" w:lineRule="auto"/>
        <w:ind w:firstLine="301"/>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sz w:val="15"/>
          <w:szCs w:val="15"/>
        </w:rPr>
        <w:t>二、双方权利与义务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（一）甲方的权利与义务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1.甲方应当履行恪尽职守、勤勉尽责、诚实守信、有效管理的义务。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2.按照法律法规及对应期次《理财产品说明书》约定的投资范围和权限内，甲方拥有管理和运用理财资金的权利。</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3.甲方应当按照对应期次《理财产品说明书》的约定向乙方分配收益。</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4.甲方有权按照对应期次《理财产品说明书》的约定收取相应费用。</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sz w:val="15"/>
          <w:szCs w:val="15"/>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7.甲方有权根据产品运作的需要选任必要的业务合作机构，并确定合作模式等相关内容。</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sz w:val="15"/>
          <w:szCs w:val="15"/>
        </w:rPr>
        <w:t>8.</w:t>
      </w:r>
      <w:r>
        <w:rPr>
          <w:rFonts w:hint="eastAsia" w:ascii="方正黑体_GBK" w:hAnsi="方正黑体_GBK" w:eastAsia="方正黑体_GBK" w:cs="方正黑体_GBK"/>
          <w:b/>
          <w:bCs/>
          <w:sz w:val="15"/>
          <w:szCs w:val="15"/>
        </w:rPr>
        <w:t>在本理财产品存续期内：</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2）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6"/>
        <w:spacing w:line="300" w:lineRule="auto"/>
        <w:ind w:firstLine="440" w:firstLineChars="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36"/>
        <w:spacing w:line="300" w:lineRule="auto"/>
        <w:ind w:firstLine="440" w:firstLineChars="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10.法律法规规定或理财产品销售文件约定的其它权利及义务。</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（二）乙方的权利与义务</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1.乙方保证具有完全民事行为能力，有完全适当的资格与能力订立并履行本协议。</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pPr>
        <w:pStyle w:val="36"/>
        <w:spacing w:line="300" w:lineRule="auto"/>
        <w:ind w:firstLineChars="28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3.乙方自愿购买甲方管理的理财产品，接受甲方提供的投资理财服务。甲方向乙方提供的市场分析和预测（如有）仅供参考，乙方据此做出的任何决策均出于乙方自身的判断，甲方不承担任何责任。</w:t>
      </w:r>
    </w:p>
    <w:p>
      <w:pPr>
        <w:pStyle w:val="36"/>
        <w:spacing w:line="300" w:lineRule="auto"/>
        <w:ind w:firstLineChars="28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4.乙方已仔细阅读《投资者权益须知》《理财产品说明书》并清楚知晓其内容，接受并签署《理财产品风险揭示书》《理财产品销售协议书》和本协议。</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36"/>
        <w:numPr>
          <w:ilvl w:val="0"/>
          <w:numId w:val="0"/>
        </w:numPr>
        <w:spacing w:line="300" w:lineRule="auto"/>
        <w:ind w:firstLine="44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8</w:t>
      </w:r>
      <w:r>
        <w:rPr>
          <w:rFonts w:hint="eastAsia" w:ascii="方正黑体_GBK" w:hAnsi="方正黑体_GBK" w:eastAsia="方正黑体_GBK" w:cs="方正黑体_GBK"/>
          <w:sz w:val="15"/>
          <w:szCs w:val="15"/>
        </w:rPr>
        <w:t>.</w:t>
      </w:r>
      <w:r>
        <w:rPr>
          <w:rFonts w:hint="eastAsia" w:ascii="方正黑体_GBK" w:hAnsi="方正黑体_GBK" w:eastAsia="方正黑体_GBK" w:cs="方正黑体_GBK"/>
          <w:b/>
          <w:bCs/>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36"/>
        <w:numPr>
          <w:ilvl w:val="0"/>
          <w:numId w:val="0"/>
        </w:numPr>
        <w:spacing w:line="300" w:lineRule="auto"/>
        <w:ind w:firstLine="442"/>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10.乙方对因购买、持有本理财产品而知悉的甲方及销售机构保密信息承担保密义务，乙方承诺不以任何方式向任何第三方披露甲方或销售机构的保密信息，法律法规另有规定的除外。</w:t>
      </w:r>
    </w:p>
    <w:p>
      <w:pPr>
        <w:pStyle w:val="36"/>
        <w:numPr>
          <w:ilvl w:val="0"/>
          <w:numId w:val="0"/>
        </w:numPr>
        <w:spacing w:line="300" w:lineRule="auto"/>
        <w:ind w:firstLine="44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11.法律法规规定或理财产品销售文件约定的其它权利及义务。</w:t>
      </w:r>
    </w:p>
    <w:p>
      <w:pPr>
        <w:pStyle w:val="36"/>
        <w:spacing w:line="300" w:lineRule="auto"/>
        <w:ind w:firstLine="301"/>
        <w:rPr>
          <w:rFonts w:hint="eastAsia" w:ascii="方正黑体_GBK" w:hAnsi="方正黑体_GBK" w:eastAsia="方正黑体_GBK" w:cs="方正黑体_GBK"/>
          <w:b/>
          <w:sz w:val="15"/>
          <w:szCs w:val="15"/>
        </w:rPr>
      </w:pPr>
      <w:r>
        <w:rPr>
          <w:rFonts w:hint="eastAsia" w:ascii="方正黑体_GBK" w:hAnsi="方正黑体_GBK" w:eastAsia="方正黑体_GBK" w:cs="方正黑体_GBK"/>
          <w:b/>
          <w:sz w:val="15"/>
          <w:szCs w:val="15"/>
        </w:rPr>
        <w:t>三、协议的生效和终止</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（三）乙方购买理财产品失败、甲方提前终止对应期次理财产品以及对应期次理财产品到期并结清后，本协议自动终止。</w:t>
      </w:r>
    </w:p>
    <w:p>
      <w:pPr>
        <w:pStyle w:val="36"/>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四、不可抗力及其他免责条款</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非因甲方原因（包括但不限于理财产品投资者遗失理财产品销售文件、理财产品销售文件被盗用等原因）造成的损失，甲方不承担责任。</w:t>
      </w:r>
    </w:p>
    <w:p>
      <w:pPr>
        <w:pStyle w:val="36"/>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五、争议解决</w:t>
      </w:r>
    </w:p>
    <w:p>
      <w:pPr>
        <w:pStyle w:val="36"/>
        <w:spacing w:line="300" w:lineRule="auto"/>
        <w:ind w:firstLine="300"/>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36"/>
        <w:spacing w:line="300" w:lineRule="auto"/>
        <w:ind w:firstLine="301"/>
        <w:rPr>
          <w:rFonts w:hint="eastAsia" w:ascii="方正黑体_GBK" w:hAnsi="方正黑体_GBK" w:eastAsia="方正黑体_GBK" w:cs="方正黑体_GBK"/>
          <w:sz w:val="15"/>
          <w:szCs w:val="15"/>
        </w:rPr>
      </w:pPr>
      <w:r>
        <w:rPr>
          <w:rFonts w:hint="eastAsia" w:ascii="方正黑体_GBK" w:hAnsi="方正黑体_GBK" w:eastAsia="方正黑体_GBK" w:cs="方正黑体_GBK"/>
          <w:b/>
          <w:bCs/>
          <w:sz w:val="15"/>
          <w:szCs w:val="15"/>
        </w:rPr>
        <w:t>六、</w:t>
      </w:r>
      <w:r>
        <w:rPr>
          <w:rFonts w:hint="eastAsia" w:ascii="方正黑体_GBK" w:hAnsi="方正黑体_GBK" w:eastAsia="方正黑体_GBK" w:cs="方正黑体_GBK"/>
          <w:sz w:val="15"/>
          <w:szCs w:val="15"/>
        </w:rPr>
        <w:t>本协议未尽事宜，以《理财产品说明书》《理财产品风险揭示书》《理财产品销售协议书》及《投资者权益须知》等销售文件的内容为准。</w:t>
      </w:r>
    </w:p>
    <w:p>
      <w:pPr>
        <w:pStyle w:val="36"/>
        <w:spacing w:line="300" w:lineRule="auto"/>
        <w:ind w:firstLine="300"/>
        <w:rPr>
          <w:rFonts w:hint="eastAsia" w:ascii="方正黑体_GBK" w:hAnsi="方正黑体_GBK" w:eastAsia="方正黑体_GBK" w:cs="方正黑体_GBK"/>
          <w:sz w:val="15"/>
          <w:szCs w:val="15"/>
        </w:rPr>
      </w:pPr>
    </w:p>
    <w:p>
      <w:pPr>
        <w:pStyle w:val="36"/>
        <w:spacing w:line="300" w:lineRule="auto"/>
        <w:ind w:firstLine="301"/>
        <w:rPr>
          <w:rFonts w:hint="eastAsia" w:ascii="方正黑体_GBK" w:hAnsi="方正黑体_GBK" w:eastAsia="方正黑体_GBK" w:cs="方正黑体_GBK"/>
          <w:b/>
          <w:bCs/>
          <w:sz w:val="15"/>
          <w:szCs w:val="15"/>
        </w:rPr>
      </w:pPr>
      <w:r>
        <w:rPr>
          <w:rFonts w:hint="eastAsia" w:ascii="方正黑体_GBK" w:hAnsi="方正黑体_GBK" w:eastAsia="方正黑体_GBK" w:cs="方正黑体_GBK"/>
          <w:b/>
          <w:bCs/>
          <w:sz w:val="15"/>
          <w:szCs w:val="15"/>
        </w:rPr>
        <w:t>请投资者在购买本理财产品前认真阅读以上条款，尤其是加粗的条款。如果投资者不同意本协议的任何内容，或者无法准确理解相关条款的解释，请不要进行后续操作。</w:t>
      </w:r>
    </w:p>
    <w:p>
      <w:pPr>
        <w:pStyle w:val="36"/>
        <w:spacing w:line="300" w:lineRule="auto"/>
        <w:ind w:firstLine="300"/>
        <w:rPr>
          <w:rFonts w:hint="eastAsia" w:ascii="方正黑体_GBK" w:hAnsi="方正黑体_GBK" w:eastAsia="方正黑体_GBK" w:cs="方正黑体_GBK"/>
          <w:sz w:val="15"/>
          <w:szCs w:val="15"/>
        </w:rPr>
      </w:pPr>
      <w:r>
        <w:rPr>
          <w:rFonts w:hint="eastAsia" w:ascii="方正黑体_GBK" w:hAnsi="方正黑体_GBK" w:eastAsia="方正黑体_GBK" w:cs="方正黑体_GBK"/>
          <w:sz w:val="15"/>
          <w:szCs w:val="15"/>
        </w:rPr>
        <w:t>（以下无正文）</w:t>
      </w:r>
    </w:p>
    <w:p>
      <w:pPr>
        <w:pStyle w:val="36"/>
        <w:spacing w:line="300" w:lineRule="auto"/>
        <w:ind w:firstLine="300"/>
        <w:rPr>
          <w:rFonts w:hint="eastAsia" w:ascii="方正黑体_GBK" w:hAnsi="方正黑体_GBK" w:eastAsia="方正黑体_GBK" w:cs="方正黑体_GBK"/>
          <w:sz w:val="15"/>
          <w:szCs w:val="15"/>
        </w:rPr>
      </w:pPr>
    </w:p>
    <w:p>
      <w:pPr>
        <w:spacing w:line="300" w:lineRule="auto"/>
        <w:ind w:left="300"/>
        <w:rPr>
          <w:rFonts w:hint="eastAsia" w:ascii="方正黑体_GBK" w:hAnsi="方正黑体_GBK" w:eastAsia="方正黑体_GBK" w:cs="方正黑体_GBK"/>
          <w:sz w:val="15"/>
          <w:szCs w:val="15"/>
        </w:rPr>
      </w:pPr>
      <w:r>
        <w:rPr>
          <w:rStyle w:val="37"/>
          <w:rFonts w:hint="eastAsia" w:ascii="方正黑体_GBK" w:hAnsi="方正黑体_GBK" w:eastAsia="方正黑体_GBK" w:cs="方正黑体_GBK"/>
          <w:sz w:val="15"/>
          <w:szCs w:val="15"/>
        </w:rPr>
        <w:t>个人投资者（如适用）：</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机构投资者（如适用）：</w:t>
      </w:r>
      <w:r>
        <w:rPr>
          <w:rFonts w:hint="eastAsia" w:ascii="方正黑体_GBK" w:hAnsi="方正黑体_GBK" w:eastAsia="方正黑体_GBK" w:cs="方正黑体_GBK"/>
          <w:color w:val="000000"/>
          <w:sz w:val="15"/>
          <w:szCs w:val="15"/>
        </w:rPr>
        <w:br w:type="textWrapping"/>
      </w:r>
      <w:r>
        <w:rPr>
          <w:rStyle w:val="37"/>
          <w:rFonts w:hint="eastAsia" w:ascii="方正黑体_GBK" w:hAnsi="方正黑体_GBK" w:eastAsia="方正黑体_GBK" w:cs="方正黑体_GBK"/>
          <w:sz w:val="15"/>
          <w:szCs w:val="15"/>
        </w:rPr>
        <w:t>个人投资者： （签名或盖章）</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机构投资者：（</w:t>
      </w:r>
      <w:r>
        <w:rPr>
          <w:rFonts w:hint="eastAsia" w:ascii="方正黑体_GBK" w:hAnsi="方正黑体_GBK" w:eastAsia="方正黑体_GBK" w:cs="方正黑体_GBK"/>
          <w:sz w:val="15"/>
          <w:szCs w:val="15"/>
        </w:rPr>
        <w:t>公章或合同专用章</w:t>
      </w:r>
      <w:r>
        <w:rPr>
          <w:rStyle w:val="37"/>
          <w:rFonts w:hint="eastAsia" w:ascii="方正黑体_GBK" w:hAnsi="方正黑体_GBK" w:eastAsia="方正黑体_GBK" w:cs="方正黑体_GBK"/>
          <w:sz w:val="15"/>
          <w:szCs w:val="15"/>
        </w:rPr>
        <w:t>）</w:t>
      </w:r>
      <w:r>
        <w:rPr>
          <w:rFonts w:hint="eastAsia" w:ascii="方正黑体_GBK" w:hAnsi="方正黑体_GBK" w:eastAsia="方正黑体_GBK" w:cs="方正黑体_GBK"/>
          <w:color w:val="000000"/>
          <w:sz w:val="15"/>
          <w:szCs w:val="15"/>
        </w:rPr>
        <w:br w:type="textWrapping"/>
      </w:r>
      <w:r>
        <w:rPr>
          <w:rStyle w:val="37"/>
          <w:rFonts w:hint="eastAsia" w:ascii="方正黑体_GBK" w:hAnsi="方正黑体_GBK" w:eastAsia="方正黑体_GBK" w:cs="方正黑体_GBK"/>
          <w:sz w:val="15"/>
          <w:szCs w:val="15"/>
        </w:rPr>
        <w:t xml:space="preserve">   年  月  日       </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法定代表人或授权代理人：（签名或盖章）</w:t>
      </w:r>
      <w:r>
        <w:rPr>
          <w:rFonts w:hint="eastAsia" w:ascii="方正黑体_GBK" w:hAnsi="方正黑体_GBK" w:eastAsia="方正黑体_GBK" w:cs="方正黑体_GBK"/>
          <w:color w:val="000000"/>
          <w:sz w:val="15"/>
          <w:szCs w:val="15"/>
        </w:rPr>
        <w:br w:type="textWrapping"/>
      </w:r>
      <w:r>
        <w:rPr>
          <w:rStyle w:val="37"/>
          <w:rFonts w:hint="eastAsia" w:ascii="方正黑体_GBK" w:hAnsi="方正黑体_GBK" w:eastAsia="方正黑体_GBK" w:cs="方正黑体_GBK"/>
          <w:sz w:val="15"/>
          <w:szCs w:val="15"/>
        </w:rPr>
        <w:t xml:space="preserve">                                  </w:t>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ab/>
      </w:r>
      <w:r>
        <w:rPr>
          <w:rStyle w:val="37"/>
          <w:rFonts w:hint="eastAsia" w:ascii="方正黑体_GBK" w:hAnsi="方正黑体_GBK" w:eastAsia="方正黑体_GBK" w:cs="方正黑体_GBK"/>
          <w:sz w:val="15"/>
          <w:szCs w:val="15"/>
        </w:rPr>
        <w:t>年    月   日</w:t>
      </w:r>
    </w:p>
    <w:p>
      <w:pPr>
        <w:spacing w:line="360" w:lineRule="auto"/>
        <w:rPr>
          <w:rFonts w:hint="eastAsia" w:ascii="方正黑体_GBK" w:hAnsi="方正黑体_GBK" w:eastAsia="方正黑体_GBK" w:cs="方正黑体_GBK"/>
          <w:sz w:val="22"/>
          <w:szCs w:val="24"/>
        </w:rPr>
      </w:pPr>
    </w:p>
    <w:p>
      <w:pPr>
        <w:spacing w:line="200" w:lineRule="exact"/>
        <w:rPr>
          <w:rFonts w:hint="eastAsia" w:ascii="方正黑体_GBK" w:hAnsi="方正黑体_GBK" w:eastAsia="方正黑体_GBK" w:cs="方正黑体_GBK"/>
          <w:spacing w:val="10"/>
          <w:sz w:val="15"/>
          <w:szCs w:val="15"/>
        </w:rPr>
      </w:pPr>
    </w:p>
    <w:bookmarkEnd w:id="31"/>
    <w:p>
      <w:pPr>
        <w:widowControl/>
        <w:jc w:val="left"/>
        <w:rPr>
          <w:rFonts w:hint="eastAsia" w:ascii="方正黑体_GBK" w:hAnsi="方正黑体_GBK" w:eastAsia="方正黑体_GBK" w:cs="方正黑体_GBK"/>
        </w:rPr>
      </w:pPr>
    </w:p>
    <w:p>
      <w:pPr>
        <w:pStyle w:val="2"/>
        <w:rPr>
          <w:rFonts w:hint="eastAsia" w:ascii="方正黑体_GBK" w:hAnsi="方正黑体_GBK" w:eastAsia="方正黑体_GBK" w:cs="方正黑体_GBK"/>
          <w:lang w:val="en-US" w:eastAsia="zh-CN"/>
        </w:rPr>
      </w:pPr>
    </w:p>
    <w:bookmarkEnd w:id="32"/>
    <w:sectPr>
      <w:headerReference r:id="rId8" w:type="default"/>
      <w:footerReference r:id="rId9" w:type="default"/>
      <w:pgSz w:w="11907" w:h="16839"/>
      <w:pgMar w:top="720" w:right="720" w:bottom="720" w:left="7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MicrosoftYaHei_PDF_Subset">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6"/>
        <w:tab w:val="clear" w:pos="8307"/>
      </w:tabs>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10"/>
      <w:tabs>
        <w:tab w:val="right" w:pos="8306"/>
        <w:tab w:val="clear" w:pos="83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6"/>
        <w:tab w:val="clear" w:pos="8307"/>
      </w:tabs>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10"/>
      <w:tabs>
        <w:tab w:val="right" w:pos="8306"/>
        <w:tab w:val="clear" w:pos="83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pPr>
    <w:r>
      <w:t xml:space="preserve">   </w:t>
    </w:r>
    <w:r>
      <w:rPr>
        <w:rFonts w:hint="eastAsia" w:ascii="宋体" w:eastAsia="宋体" w:cs="Times New Roman"/>
        <w:vanish w:val="0"/>
        <w:kern w:val="2"/>
        <w:sz w:val="18"/>
        <w:szCs w:val="18"/>
      </w:rPr>
      <w:t>南银理财理财产品销售文件（</w:t>
    </w:r>
    <w:r>
      <w:rPr>
        <w:rFonts w:ascii="Times New Roman" w:hAnsi="Times New Roman" w:eastAsia="宋体" w:cs="Times New Roman"/>
        <w:vanish w:val="0"/>
        <w:kern w:val="2"/>
        <w:sz w:val="18"/>
        <w:szCs w:val="18"/>
      </w:rPr>
      <w:t>2021</w:t>
    </w:r>
    <w:r>
      <w:rPr>
        <w:rFonts w:hint="eastAsia" w:ascii="宋体" w:eastAsia="宋体" w:cs="Times New Roman"/>
        <w:vanish w:val="0"/>
        <w:kern w:val="2"/>
        <w:sz w:val="18"/>
        <w:szCs w:val="18"/>
      </w:rPr>
      <w:t>第</w:t>
    </w:r>
    <w:r>
      <w:rPr>
        <w:rFonts w:ascii="Times New Roman" w:hAnsi="Times New Roman" w:eastAsia="宋体" w:cs="Times New Roman"/>
        <w:vanish w:val="0"/>
        <w:kern w:val="2"/>
        <w:sz w:val="18"/>
        <w:szCs w:val="18"/>
      </w:rPr>
      <w:t>2</w:t>
    </w:r>
    <w:r>
      <w:rPr>
        <w:rFonts w:hint="eastAsia" w:ascii="宋体" w:eastAsia="宋体" w:cs="Times New Roman"/>
        <w:vanish w:val="0"/>
        <w:kern w:val="2"/>
        <w:sz w:val="18"/>
        <w:szCs w:val="18"/>
      </w:rPr>
      <w:t>版）</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8306"/>
        <w:tab w:val="clear" w:pos="8307"/>
      </w:tabs>
      <w:jc w:val="right"/>
    </w:pPr>
    <w:r>
      <w:rPr>
        <w:rFonts w:hint="eastAsia"/>
      </w:rPr>
      <w:t>南银理财理财产品销售文件（202</w:t>
    </w:r>
    <w:r>
      <w:rPr>
        <w:rFonts w:hint="eastAsia"/>
        <w:lang w:val="en-US" w:eastAsia="zh-CN"/>
      </w:rPr>
      <w:t>1</w:t>
    </w:r>
    <w:r>
      <w:rPr>
        <w:rFonts w:hint="eastAsia"/>
      </w:rPr>
      <w:t>第</w:t>
    </w:r>
    <w:r>
      <w:rPr>
        <w:rFonts w:hint="eastAsia"/>
        <w:lang w:val="en-US" w:eastAsia="zh-CN"/>
      </w:rPr>
      <w:t>2</w:t>
    </w:r>
    <w:r>
      <w:rPr>
        <w:rFonts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8306"/>
        <w:tab w:val="clear" w:pos="8307"/>
      </w:tabs>
      <w:jc w:val="right"/>
    </w:pPr>
    <w:r>
      <w:rPr>
        <w:rFonts w:hint="eastAsia"/>
      </w:rPr>
      <w:t>南银理财理财产品销售文件（202</w:t>
    </w:r>
    <w:r>
      <w:rPr>
        <w:rFonts w:hint="eastAsia"/>
        <w:lang w:val="en-US" w:eastAsia="zh-CN"/>
      </w:rPr>
      <w:t>1</w:t>
    </w:r>
    <w:r>
      <w:rPr>
        <w:rFonts w:hint="eastAsia"/>
      </w:rPr>
      <w:t>第</w:t>
    </w:r>
    <w:r>
      <w:rPr>
        <w:rFonts w:hint="eastAsia"/>
        <w:lang w:val="en-US" w:eastAsia="zh-CN"/>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1918"/>
    <w:multiLevelType w:val="singleLevel"/>
    <w:tmpl w:val="87F31918"/>
    <w:lvl w:ilvl="0" w:tentative="0">
      <w:start w:val="1"/>
      <w:numFmt w:val="decimal"/>
      <w:suff w:val="nothing"/>
      <w:lvlText w:val="%1、"/>
      <w:lvlJc w:val="left"/>
    </w:lvl>
  </w:abstractNum>
  <w:abstractNum w:abstractNumId="1">
    <w:nsid w:val="9239341B"/>
    <w:multiLevelType w:val="multilevel"/>
    <w:tmpl w:val="9239341B"/>
    <w:lvl w:ilvl="0" w:tentative="0">
      <w:start w:val="1"/>
      <w:numFmt w:val="decimal"/>
      <w:lvlText w:val="%1."/>
      <w:lvlJc w:val="left"/>
      <w:pPr>
        <w:tabs>
          <w:tab w:val="left" w:pos="0"/>
        </w:tabs>
        <w:ind w:left="660" w:hanging="360"/>
      </w:pPr>
      <w:rPr>
        <w:rFonts w:hint="default" w:ascii="Times New Roman" w:hAnsi="Times New Roman"/>
      </w:rPr>
    </w:lvl>
    <w:lvl w:ilvl="1" w:tentative="0">
      <w:start w:val="1"/>
      <w:numFmt w:val="lowerLetter"/>
      <w:lvlText w:val="%2)"/>
      <w:lvlJc w:val="left"/>
      <w:pPr>
        <w:tabs>
          <w:tab w:val="left" w:pos="0"/>
        </w:tabs>
        <w:ind w:left="1140" w:hanging="420"/>
      </w:pPr>
      <w:rPr>
        <w:rFonts w:hint="default" w:ascii="Times New Roman" w:hAnsi="Times New Roman"/>
      </w:rPr>
    </w:lvl>
    <w:lvl w:ilvl="2" w:tentative="0">
      <w:start w:val="1"/>
      <w:numFmt w:val="decimal"/>
      <w:lvlText w:val="%3."/>
      <w:lvlJc w:val="right"/>
      <w:pPr>
        <w:tabs>
          <w:tab w:val="left" w:pos="0"/>
        </w:tabs>
        <w:ind w:left="1560" w:hanging="420"/>
      </w:pPr>
      <w:rPr>
        <w:rFonts w:hint="default" w:ascii="Times New Roman" w:hAnsi="Times New Roman"/>
      </w:rPr>
    </w:lvl>
    <w:lvl w:ilvl="3" w:tentative="0">
      <w:start w:val="1"/>
      <w:numFmt w:val="decimal"/>
      <w:lvlText w:val="%4."/>
      <w:lvlJc w:val="left"/>
      <w:pPr>
        <w:tabs>
          <w:tab w:val="left" w:pos="0"/>
        </w:tabs>
        <w:ind w:left="1980" w:hanging="420"/>
      </w:pPr>
      <w:rPr>
        <w:rFonts w:hint="default" w:ascii="Times New Roman" w:hAnsi="Times New Roman"/>
      </w:rPr>
    </w:lvl>
    <w:lvl w:ilvl="4" w:tentative="0">
      <w:start w:val="1"/>
      <w:numFmt w:val="lowerLetter"/>
      <w:lvlText w:val="%5)"/>
      <w:lvlJc w:val="left"/>
      <w:pPr>
        <w:tabs>
          <w:tab w:val="left" w:pos="0"/>
        </w:tabs>
        <w:ind w:left="2400" w:hanging="420"/>
      </w:pPr>
      <w:rPr>
        <w:rFonts w:hint="default" w:ascii="Times New Roman" w:hAnsi="Times New Roman"/>
      </w:rPr>
    </w:lvl>
    <w:lvl w:ilvl="5" w:tentative="0">
      <w:start w:val="1"/>
      <w:numFmt w:val="decimal"/>
      <w:lvlText w:val="%6."/>
      <w:lvlJc w:val="right"/>
      <w:pPr>
        <w:tabs>
          <w:tab w:val="left" w:pos="0"/>
        </w:tabs>
        <w:ind w:left="2820" w:hanging="420"/>
      </w:pPr>
      <w:rPr>
        <w:rFonts w:hint="default" w:ascii="Times New Roman" w:hAnsi="Times New Roman"/>
      </w:rPr>
    </w:lvl>
    <w:lvl w:ilvl="6" w:tentative="0">
      <w:start w:val="1"/>
      <w:numFmt w:val="decimal"/>
      <w:lvlText w:val="%7."/>
      <w:lvlJc w:val="left"/>
      <w:pPr>
        <w:tabs>
          <w:tab w:val="left" w:pos="0"/>
        </w:tabs>
        <w:ind w:left="3240" w:hanging="420"/>
      </w:pPr>
      <w:rPr>
        <w:rFonts w:hint="default" w:ascii="Times New Roman" w:hAnsi="Times New Roman"/>
      </w:rPr>
    </w:lvl>
    <w:lvl w:ilvl="7" w:tentative="0">
      <w:start w:val="1"/>
      <w:numFmt w:val="lowerLetter"/>
      <w:lvlText w:val="%8)"/>
      <w:lvlJc w:val="left"/>
      <w:pPr>
        <w:tabs>
          <w:tab w:val="left" w:pos="0"/>
        </w:tabs>
        <w:ind w:left="3660" w:hanging="420"/>
      </w:pPr>
      <w:rPr>
        <w:rFonts w:hint="default" w:ascii="Times New Roman" w:hAnsi="Times New Roman"/>
      </w:rPr>
    </w:lvl>
    <w:lvl w:ilvl="8" w:tentative="0">
      <w:start w:val="1"/>
      <w:numFmt w:val="decimal"/>
      <w:lvlText w:val="%9."/>
      <w:lvlJc w:val="right"/>
      <w:pPr>
        <w:tabs>
          <w:tab w:val="left" w:pos="0"/>
        </w:tabs>
        <w:ind w:left="4080" w:hanging="420"/>
      </w:pPr>
      <w:rPr>
        <w:rFonts w:hint="default" w:ascii="Times New Roman" w:hAnsi="Times New Roman"/>
      </w:rPr>
    </w:lvl>
  </w:abstractNum>
  <w:abstractNum w:abstractNumId="2">
    <w:nsid w:val="0248C179"/>
    <w:multiLevelType w:val="multilevel"/>
    <w:tmpl w:val="0248C179"/>
    <w:lvl w:ilvl="0" w:tentative="0">
      <w:start w:val="1"/>
      <w:numFmt w:val="japaneseCounting"/>
      <w:lvlText w:val="（%1）"/>
      <w:lvlJc w:val="left"/>
      <w:pPr>
        <w:tabs>
          <w:tab w:val="left" w:pos="0"/>
        </w:tabs>
        <w:ind w:left="1021" w:hanging="720"/>
      </w:pPr>
      <w:rPr>
        <w:rFonts w:hint="default" w:ascii="Times New Roman" w:hAnsi="Times New Roman"/>
      </w:rPr>
    </w:lvl>
    <w:lvl w:ilvl="1" w:tentative="0">
      <w:start w:val="1"/>
      <w:numFmt w:val="lowerLetter"/>
      <w:lvlText w:val="%2)"/>
      <w:lvlJc w:val="left"/>
      <w:pPr>
        <w:tabs>
          <w:tab w:val="left" w:pos="0"/>
        </w:tabs>
        <w:ind w:left="1141" w:hanging="420"/>
      </w:pPr>
      <w:rPr>
        <w:rFonts w:hint="default" w:ascii="Times New Roman" w:hAnsi="Times New Roman"/>
      </w:rPr>
    </w:lvl>
    <w:lvl w:ilvl="2" w:tentative="0">
      <w:start w:val="1"/>
      <w:numFmt w:val="decimal"/>
      <w:lvlText w:val="%3."/>
      <w:lvlJc w:val="right"/>
      <w:pPr>
        <w:tabs>
          <w:tab w:val="left" w:pos="0"/>
        </w:tabs>
        <w:ind w:left="1561" w:hanging="420"/>
      </w:pPr>
      <w:rPr>
        <w:rFonts w:hint="default" w:ascii="Times New Roman" w:hAnsi="Times New Roman"/>
      </w:rPr>
    </w:lvl>
    <w:lvl w:ilvl="3" w:tentative="0">
      <w:start w:val="1"/>
      <w:numFmt w:val="decimal"/>
      <w:lvlText w:val="%4."/>
      <w:lvlJc w:val="left"/>
      <w:pPr>
        <w:tabs>
          <w:tab w:val="left" w:pos="0"/>
        </w:tabs>
        <w:ind w:left="1981" w:hanging="420"/>
      </w:pPr>
      <w:rPr>
        <w:rFonts w:hint="default" w:ascii="Times New Roman" w:hAnsi="Times New Roman"/>
      </w:rPr>
    </w:lvl>
    <w:lvl w:ilvl="4" w:tentative="0">
      <w:start w:val="1"/>
      <w:numFmt w:val="lowerLetter"/>
      <w:lvlText w:val="%5)"/>
      <w:lvlJc w:val="left"/>
      <w:pPr>
        <w:tabs>
          <w:tab w:val="left" w:pos="0"/>
        </w:tabs>
        <w:ind w:left="2401" w:hanging="420"/>
      </w:pPr>
      <w:rPr>
        <w:rFonts w:hint="default" w:ascii="Times New Roman" w:hAnsi="Times New Roman"/>
      </w:rPr>
    </w:lvl>
    <w:lvl w:ilvl="5" w:tentative="0">
      <w:start w:val="1"/>
      <w:numFmt w:val="decimal"/>
      <w:lvlText w:val="%6."/>
      <w:lvlJc w:val="right"/>
      <w:pPr>
        <w:tabs>
          <w:tab w:val="left" w:pos="0"/>
        </w:tabs>
        <w:ind w:left="2821" w:hanging="420"/>
      </w:pPr>
      <w:rPr>
        <w:rFonts w:hint="default" w:ascii="Times New Roman" w:hAnsi="Times New Roman"/>
      </w:rPr>
    </w:lvl>
    <w:lvl w:ilvl="6" w:tentative="0">
      <w:start w:val="1"/>
      <w:numFmt w:val="decimal"/>
      <w:lvlText w:val="%7."/>
      <w:lvlJc w:val="left"/>
      <w:pPr>
        <w:tabs>
          <w:tab w:val="left" w:pos="0"/>
        </w:tabs>
        <w:ind w:left="3241" w:hanging="420"/>
      </w:pPr>
      <w:rPr>
        <w:rFonts w:hint="default" w:ascii="Times New Roman" w:hAnsi="Times New Roman"/>
      </w:rPr>
    </w:lvl>
    <w:lvl w:ilvl="7" w:tentative="0">
      <w:start w:val="1"/>
      <w:numFmt w:val="lowerLetter"/>
      <w:lvlText w:val="%8)"/>
      <w:lvlJc w:val="left"/>
      <w:pPr>
        <w:tabs>
          <w:tab w:val="left" w:pos="0"/>
        </w:tabs>
        <w:ind w:left="3661" w:hanging="420"/>
      </w:pPr>
      <w:rPr>
        <w:rFonts w:hint="default" w:ascii="Times New Roman" w:hAnsi="Times New Roman"/>
      </w:rPr>
    </w:lvl>
    <w:lvl w:ilvl="8" w:tentative="0">
      <w:start w:val="1"/>
      <w:numFmt w:val="decimal"/>
      <w:lvlText w:val="%9."/>
      <w:lvlJc w:val="right"/>
      <w:pPr>
        <w:tabs>
          <w:tab w:val="left" w:pos="0"/>
        </w:tabs>
        <w:ind w:left="4081" w:hanging="420"/>
      </w:pPr>
      <w:rPr>
        <w:rFonts w:hint="default" w:ascii="Times New Roman" w:hAnsi="Times New Roman"/>
      </w:rPr>
    </w:lvl>
  </w:abstractNum>
  <w:abstractNum w:abstractNumId="3">
    <w:nsid w:val="25B654F3"/>
    <w:multiLevelType w:val="multilevel"/>
    <w:tmpl w:val="25B654F3"/>
    <w:lvl w:ilvl="0" w:tentative="0">
      <w:start w:val="1"/>
      <w:numFmt w:val="chineseCountingThousand"/>
      <w:lvlText w:val="（%1）"/>
      <w:legacy w:legacy="1" w:legacySpace="0" w:legacyIndent="420"/>
      <w:lvlJc w:val="left"/>
      <w:pPr>
        <w:ind w:left="704" w:hanging="420"/>
      </w:pPr>
      <w:rPr>
        <w:rFonts w:hint="eastAsia" w:ascii="宋体" w:hAnsi="宋体" w:eastAsia="宋体"/>
        <w:b w:val="0"/>
        <w:bCs w:val="0"/>
      </w:rPr>
    </w:lvl>
    <w:lvl w:ilvl="1" w:tentative="0">
      <w:start w:val="1"/>
      <w:numFmt w:val="lowerLetter"/>
      <w:lvlText w:val="%2)"/>
      <w:legacy w:legacy="1" w:legacySpace="0" w:legacyIndent="420"/>
      <w:lvlJc w:val="left"/>
      <w:pPr>
        <w:ind w:left="1124" w:hanging="420"/>
      </w:pPr>
      <w:rPr>
        <w:rFonts w:hint="default" w:ascii="Times New Roman" w:hAnsi="Times New Roman"/>
      </w:rPr>
    </w:lvl>
    <w:lvl w:ilvl="2" w:tentative="0">
      <w:start w:val="1"/>
      <w:numFmt w:val="decimal"/>
      <w:lvlText w:val="%3."/>
      <w:legacy w:legacy="1" w:legacySpace="0" w:legacyIndent="420"/>
      <w:lvlJc w:val="right"/>
      <w:pPr>
        <w:ind w:left="1544" w:hanging="420"/>
      </w:pPr>
      <w:rPr>
        <w:rFonts w:hint="default" w:ascii="Times New Roman" w:hAnsi="Times New Roman"/>
      </w:rPr>
    </w:lvl>
    <w:lvl w:ilvl="3" w:tentative="0">
      <w:start w:val="1"/>
      <w:numFmt w:val="decimal"/>
      <w:lvlText w:val="%4."/>
      <w:legacy w:legacy="1" w:legacySpace="0" w:legacyIndent="420"/>
      <w:lvlJc w:val="left"/>
      <w:pPr>
        <w:ind w:left="1964" w:hanging="420"/>
      </w:pPr>
      <w:rPr>
        <w:rFonts w:hint="default" w:ascii="Times New Roman" w:hAnsi="Times New Roman"/>
      </w:rPr>
    </w:lvl>
    <w:lvl w:ilvl="4" w:tentative="0">
      <w:start w:val="1"/>
      <w:numFmt w:val="lowerLetter"/>
      <w:lvlText w:val="%5)"/>
      <w:legacy w:legacy="1" w:legacySpace="0" w:legacyIndent="420"/>
      <w:lvlJc w:val="left"/>
      <w:pPr>
        <w:ind w:left="2384" w:hanging="420"/>
      </w:pPr>
      <w:rPr>
        <w:rFonts w:hint="default" w:ascii="Times New Roman" w:hAnsi="Times New Roman"/>
      </w:rPr>
    </w:lvl>
    <w:lvl w:ilvl="5" w:tentative="0">
      <w:start w:val="1"/>
      <w:numFmt w:val="decimal"/>
      <w:lvlText w:val="%6."/>
      <w:legacy w:legacy="1" w:legacySpace="0" w:legacyIndent="420"/>
      <w:lvlJc w:val="right"/>
      <w:pPr>
        <w:ind w:left="2804" w:hanging="420"/>
      </w:pPr>
      <w:rPr>
        <w:rFonts w:hint="default" w:ascii="Times New Roman" w:hAnsi="Times New Roman"/>
      </w:rPr>
    </w:lvl>
    <w:lvl w:ilvl="6" w:tentative="0">
      <w:start w:val="1"/>
      <w:numFmt w:val="decimal"/>
      <w:lvlText w:val="%7."/>
      <w:legacy w:legacy="1" w:legacySpace="0" w:legacyIndent="420"/>
      <w:lvlJc w:val="left"/>
      <w:pPr>
        <w:ind w:left="3224" w:hanging="420"/>
      </w:pPr>
      <w:rPr>
        <w:rFonts w:hint="default" w:ascii="Times New Roman" w:hAnsi="Times New Roman"/>
      </w:rPr>
    </w:lvl>
    <w:lvl w:ilvl="7" w:tentative="0">
      <w:start w:val="1"/>
      <w:numFmt w:val="lowerLetter"/>
      <w:lvlText w:val="%8)"/>
      <w:legacy w:legacy="1" w:legacySpace="0" w:legacyIndent="420"/>
      <w:lvlJc w:val="left"/>
      <w:pPr>
        <w:ind w:left="3644" w:hanging="420"/>
      </w:pPr>
      <w:rPr>
        <w:rFonts w:hint="default" w:ascii="Times New Roman" w:hAnsi="Times New Roman"/>
      </w:rPr>
    </w:lvl>
    <w:lvl w:ilvl="8" w:tentative="0">
      <w:start w:val="1"/>
      <w:numFmt w:val="decimal"/>
      <w:lvlText w:val="%9."/>
      <w:legacy w:legacy="1" w:legacySpace="0" w:legacyIndent="420"/>
      <w:lvlJc w:val="right"/>
      <w:pPr>
        <w:ind w:left="4064" w:hanging="420"/>
      </w:pPr>
      <w:rPr>
        <w:rFonts w:hint="default" w:ascii="Times New Roman" w:hAnsi="Times New Roman"/>
      </w:rPr>
    </w:lvl>
  </w:abstractNum>
  <w:abstractNum w:abstractNumId="4">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DF84C9C"/>
    <w:multiLevelType w:val="singleLevel"/>
    <w:tmpl w:val="5DF84C9C"/>
    <w:lvl w:ilvl="0" w:tentative="0">
      <w:start w:val="1"/>
      <w:numFmt w:val="decimal"/>
      <w:suff w:val="nothing"/>
      <w:lvlText w:val="%1."/>
      <w:lvlJc w:val="left"/>
    </w:lvl>
  </w:abstractNum>
  <w:abstractNum w:abstractNumId="10">
    <w:nsid w:val="5DF84CBD"/>
    <w:multiLevelType w:val="singleLevel"/>
    <w:tmpl w:val="5DF84CBD"/>
    <w:lvl w:ilvl="0" w:tentative="0">
      <w:start w:val="1"/>
      <w:numFmt w:val="decimal"/>
      <w:suff w:val="nothing"/>
      <w:lvlText w:val="（%1）"/>
      <w:lvlJc w:val="left"/>
    </w:lvl>
  </w:abstractNum>
  <w:abstractNum w:abstractNumId="11">
    <w:nsid w:val="5DF84D07"/>
    <w:multiLevelType w:val="singleLevel"/>
    <w:tmpl w:val="5DF84D07"/>
    <w:lvl w:ilvl="0" w:tentative="0">
      <w:start w:val="1"/>
      <w:numFmt w:val="decimal"/>
      <w:suff w:val="nothing"/>
      <w:lvlText w:val="（%1）"/>
      <w:lvlJc w:val="left"/>
    </w:lvl>
  </w:abstractNum>
  <w:abstractNum w:abstractNumId="12">
    <w:nsid w:val="6D2A3EBA"/>
    <w:multiLevelType w:val="singleLevel"/>
    <w:tmpl w:val="6D2A3EBA"/>
    <w:lvl w:ilvl="0" w:tentative="0">
      <w:start w:val="1"/>
      <w:numFmt w:val="decimal"/>
      <w:suff w:val="nothing"/>
      <w:lvlText w:val="（%1）"/>
      <w:lvlJc w:val="left"/>
    </w:lvl>
  </w:abstractNum>
  <w:abstractNum w:abstractNumId="13">
    <w:nsid w:val="72183CF9"/>
    <w:multiLevelType w:val="multilevel"/>
    <w:tmpl w:val="72183CF9"/>
    <w:lvl w:ilvl="0" w:tentative="0">
      <w:start w:val="1"/>
      <w:numFmt w:val="decimal"/>
      <w:lvlText w:val="（%1）"/>
      <w:legacy w:legacy="1" w:legacySpace="0" w:legacyIndent="420"/>
      <w:lvlJc w:val="left"/>
      <w:pPr>
        <w:ind w:left="709" w:hanging="420"/>
      </w:pPr>
      <w:rPr>
        <w:rFonts w:hint="default" w:ascii="Times New Roman" w:hAnsi="Times New Roman"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14">
    <w:nsid w:val="7A29506B"/>
    <w:multiLevelType w:val="singleLevel"/>
    <w:tmpl w:val="7A29506B"/>
    <w:lvl w:ilvl="0" w:tentative="0">
      <w:start w:val="1"/>
      <w:numFmt w:val="decimal"/>
      <w:suff w:val="nothing"/>
      <w:lvlText w:val="（%1）"/>
      <w:lvlJc w:val="left"/>
    </w:lvl>
  </w:abstractNum>
  <w:num w:numId="1">
    <w:abstractNumId w:val="3"/>
  </w:num>
  <w:num w:numId="2">
    <w:abstractNumId w:val="13"/>
  </w:num>
  <w:num w:numId="3">
    <w:abstractNumId w:val="2"/>
  </w:num>
  <w:num w:numId="4">
    <w:abstractNumId w:val="1"/>
  </w:num>
  <w:num w:numId="5">
    <w:abstractNumId w:val="9"/>
  </w:num>
  <w:num w:numId="6">
    <w:abstractNumId w:val="10"/>
  </w:num>
  <w:num w:numId="7">
    <w:abstractNumId w:val="11"/>
  </w:num>
  <w:num w:numId="8">
    <w:abstractNumId w:val="7"/>
  </w:num>
  <w:num w:numId="9">
    <w:abstractNumId w:val="8"/>
  </w:num>
  <w:num w:numId="10">
    <w:abstractNumId w:val="6"/>
  </w:num>
  <w:num w:numId="11">
    <w:abstractNumId w:val="14"/>
  </w:num>
  <w:num w:numId="12">
    <w:abstractNumId w:val="5"/>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M1ZGZjZGI0NDAxNWRlYTU1MDQzODcxYWQzMWNkMWYifQ=="/>
  </w:docVars>
  <w:rsids>
    <w:rsidRoot w:val="00000000"/>
    <w:rsid w:val="022263AB"/>
    <w:rsid w:val="03270DA5"/>
    <w:rsid w:val="04FF2756"/>
    <w:rsid w:val="05A02A85"/>
    <w:rsid w:val="05FA6857"/>
    <w:rsid w:val="06EC748D"/>
    <w:rsid w:val="086074E8"/>
    <w:rsid w:val="0CF70C44"/>
    <w:rsid w:val="19924EC5"/>
    <w:rsid w:val="1C157C37"/>
    <w:rsid w:val="1EF055ED"/>
    <w:rsid w:val="21530DC7"/>
    <w:rsid w:val="224866F0"/>
    <w:rsid w:val="23A42656"/>
    <w:rsid w:val="2CDD5343"/>
    <w:rsid w:val="2E852ACB"/>
    <w:rsid w:val="33697CEA"/>
    <w:rsid w:val="355A2CCA"/>
    <w:rsid w:val="376D4A28"/>
    <w:rsid w:val="3A386400"/>
    <w:rsid w:val="3CF43399"/>
    <w:rsid w:val="3D4B20D5"/>
    <w:rsid w:val="41D97E6B"/>
    <w:rsid w:val="434A053E"/>
    <w:rsid w:val="44902025"/>
    <w:rsid w:val="4B08477A"/>
    <w:rsid w:val="4EBC01AF"/>
    <w:rsid w:val="5B505CE1"/>
    <w:rsid w:val="5BCF0BD4"/>
    <w:rsid w:val="5BF86449"/>
    <w:rsid w:val="5F0B0627"/>
    <w:rsid w:val="5FBC1984"/>
    <w:rsid w:val="615102B2"/>
    <w:rsid w:val="61FE22BC"/>
    <w:rsid w:val="64D21726"/>
    <w:rsid w:val="65AC6E78"/>
    <w:rsid w:val="663B62E3"/>
    <w:rsid w:val="67531688"/>
    <w:rsid w:val="690C14EF"/>
    <w:rsid w:val="6C5A7C50"/>
    <w:rsid w:val="6E733620"/>
    <w:rsid w:val="6F2A2D4B"/>
    <w:rsid w:val="76D844EE"/>
    <w:rsid w:val="79AA711A"/>
    <w:rsid w:val="7A5A2570"/>
    <w:rsid w:val="7B811F45"/>
    <w:rsid w:val="7C5148F4"/>
    <w:rsid w:val="7D6F1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styleId="3">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4">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6">
    <w:name w:val="Normal Indent"/>
    <w:basedOn w:val="1"/>
    <w:qFormat/>
    <w:uiPriority w:val="0"/>
    <w:pPr>
      <w:ind w:firstLine="200" w:firstLineChars="200"/>
    </w:pPr>
  </w:style>
  <w:style w:type="paragraph" w:styleId="7">
    <w:name w:val="annotation text"/>
    <w:basedOn w:val="1"/>
    <w:unhideWhenUsed/>
    <w:qFormat/>
    <w:uiPriority w:val="99"/>
    <w:pPr>
      <w:jc w:val="left"/>
    </w:pPr>
  </w:style>
  <w:style w:type="paragraph" w:styleId="8">
    <w:name w:val="toc 5"/>
    <w:basedOn w:val="1"/>
    <w:next w:val="1"/>
    <w:qFormat/>
    <w:uiPriority w:val="0"/>
    <w:pPr>
      <w:ind w:left="1680"/>
    </w:pPr>
  </w:style>
  <w:style w:type="paragraph" w:styleId="9">
    <w:name w:val="toc 3"/>
    <w:basedOn w:val="1"/>
    <w:next w:val="1"/>
    <w:qFormat/>
    <w:uiPriority w:val="0"/>
    <w:pPr>
      <w:ind w:left="840"/>
    </w:pPr>
  </w:style>
  <w:style w:type="paragraph" w:styleId="10">
    <w:name w:val="footer"/>
    <w:basedOn w:val="1"/>
    <w:qFormat/>
    <w:uiPriority w:val="0"/>
    <w:pPr>
      <w:tabs>
        <w:tab w:val="center" w:pos="4153"/>
        <w:tab w:val="right" w:pos="8307"/>
      </w:tabs>
      <w:adjustRightInd/>
      <w:snapToGrid w:val="0"/>
      <w:contextualSpacing w:val="0"/>
      <w:jc w:val="left"/>
    </w:pPr>
    <w:rPr>
      <w:sz w:val="18"/>
    </w:rPr>
  </w:style>
  <w:style w:type="paragraph" w:styleId="11">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next w:val="1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Times New Roman"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character" w:styleId="18">
    <w:name w:val="Hyperlink"/>
    <w:basedOn w:val="17"/>
    <w:qFormat/>
    <w:uiPriority w:val="0"/>
    <w:rPr>
      <w:color w:val="0000FF"/>
      <w:u w:val="single"/>
    </w:rPr>
  </w:style>
  <w:style w:type="paragraph" w:customStyle="1" w:styleId="19">
    <w:name w:val="Normal2a0e2cb9"/>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20">
    <w:name w:val="heading 106d739e7"/>
    <w:basedOn w:val="19"/>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1">
    <w:name w:val="heading 2a532caab"/>
    <w:basedOn w:val="19"/>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customStyle="1" w:styleId="22">
    <w:name w:val="heading 30c49bbdf"/>
    <w:basedOn w:val="19"/>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3">
    <w:name w:val="Default Paragraph Fontef7dbe2e"/>
    <w:qFormat/>
    <w:uiPriority w:val="0"/>
  </w:style>
  <w:style w:type="paragraph" w:customStyle="1" w:styleId="24">
    <w:name w:val="引文目录152c3a372"/>
    <w:basedOn w:val="19"/>
    <w:next w:val="1"/>
    <w:qFormat/>
    <w:uiPriority w:val="0"/>
    <w:pPr>
      <w:ind w:left="200" w:leftChars="200"/>
    </w:pPr>
  </w:style>
  <w:style w:type="paragraph" w:customStyle="1" w:styleId="25">
    <w:name w:val="toc 5814443a1"/>
    <w:basedOn w:val="19"/>
    <w:next w:val="1"/>
    <w:qFormat/>
    <w:uiPriority w:val="0"/>
    <w:pPr>
      <w:ind w:left="1680"/>
    </w:pPr>
  </w:style>
  <w:style w:type="paragraph" w:customStyle="1" w:styleId="26">
    <w:name w:val="toc 358a81267"/>
    <w:basedOn w:val="19"/>
    <w:next w:val="1"/>
    <w:qFormat/>
    <w:uiPriority w:val="0"/>
    <w:pPr>
      <w:ind w:left="840"/>
    </w:pPr>
  </w:style>
  <w:style w:type="paragraph" w:customStyle="1" w:styleId="27">
    <w:name w:val="footere2633012"/>
    <w:basedOn w:val="19"/>
    <w:qFormat/>
    <w:uiPriority w:val="0"/>
    <w:pPr>
      <w:tabs>
        <w:tab w:val="center" w:pos="4153"/>
        <w:tab w:val="right" w:pos="8307"/>
      </w:tabs>
      <w:adjustRightInd/>
      <w:snapToGrid w:val="0"/>
      <w:contextualSpacing w:val="0"/>
      <w:jc w:val="left"/>
    </w:pPr>
    <w:rPr>
      <w:sz w:val="18"/>
    </w:rPr>
  </w:style>
  <w:style w:type="paragraph" w:customStyle="1" w:styleId="28">
    <w:name w:val="header98166802"/>
    <w:basedOn w:val="19"/>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toc 1ea45d4f9"/>
    <w:basedOn w:val="19"/>
    <w:next w:val="1"/>
    <w:qFormat/>
    <w:uiPriority w:val="0"/>
  </w:style>
  <w:style w:type="paragraph" w:customStyle="1" w:styleId="30">
    <w:name w:val="toc 4243ad1d3"/>
    <w:basedOn w:val="19"/>
    <w:next w:val="1"/>
    <w:qFormat/>
    <w:uiPriority w:val="0"/>
    <w:pPr>
      <w:ind w:left="1260"/>
    </w:pPr>
  </w:style>
  <w:style w:type="paragraph" w:customStyle="1" w:styleId="31">
    <w:name w:val="toc 245ff133a"/>
    <w:basedOn w:val="19"/>
    <w:next w:val="1"/>
    <w:qFormat/>
    <w:uiPriority w:val="0"/>
    <w:pPr>
      <w:ind w:left="420"/>
    </w:pPr>
  </w:style>
  <w:style w:type="paragraph" w:customStyle="1" w:styleId="32">
    <w:name w:val="列出段落1dd8a4702"/>
    <w:next w:val="14"/>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3">
    <w:name w:val="Normald09cbf9a"/>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4">
    <w:name w:val="annotation text23"/>
    <w:next w:val="1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5">
    <w:name w:val="列出段落1"/>
    <w:basedOn w:val="1"/>
    <w:qFormat/>
    <w:uiPriority w:val="99"/>
    <w:pPr>
      <w:ind w:firstLine="420" w:firstLineChars="200"/>
    </w:pPr>
  </w:style>
  <w:style w:type="paragraph" w:customStyle="1" w:styleId="36">
    <w:name w:val="列表段落1"/>
    <w:basedOn w:val="1"/>
    <w:unhideWhenUsed/>
    <w:qFormat/>
    <w:uiPriority w:val="34"/>
    <w:pPr>
      <w:ind w:firstLine="420" w:firstLineChars="200"/>
    </w:pPr>
  </w:style>
  <w:style w:type="character" w:customStyle="1" w:styleId="37">
    <w:name w:val="fontstyle01"/>
    <w:qFormat/>
    <w:uiPriority w:val="0"/>
    <w:rPr>
      <w:rFonts w:hint="default" w:ascii="MicrosoftYaHei_PDF_Subset" w:hAnsi="MicrosoftYaHei_PDF_Subse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22242</Words>
  <Characters>22766</Characters>
  <Lines>122</Lines>
  <Paragraphs>116</Paragraphs>
  <TotalTime>0</TotalTime>
  <ScaleCrop>false</ScaleCrop>
  <LinksUpToDate>false</LinksUpToDate>
  <CharactersWithSpaces>22908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束丹</cp:lastModifiedBy>
  <dcterms:modified xsi:type="dcterms:W3CDTF">2023-10-11T07:44:45Z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68C8E82CD18643AEA7727C442743BC3B</vt:lpwstr>
  </property>
</Properties>
</file>