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QWMQ6GJ79VQ059GRVR8ML0R7NNMOSVREO0XHJDTXGORTQ5TZ0BR6CJWFSVHPDRRXNMXHOLHZI6D8LJJQUFAPFFX89D0WMCBBSOOKHB305F4BDFFFFF07EB87E8570605C4A22C2" Type="http://schemas.microsoft.com/office/2006/relationships/officeDocumentMain" Target="NULL"/><Relationship Id="CKWMP6GJ7RSA0TBGQYRNYL0K7N8MO7GREE0XUJDBXGHRTQ5T66BR0C0PFY5TPC6RXXMXOOLSZH578MJJQSFT0F8P8RF0WOWB8JOOMHB330DA602A7E4FDD905198595A4EAAB2D5" Type="http://schemas.microsoft.com/office/2006/relationships/officeDocumentExtended"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350B" w:rsidRDefault="0064350B" w:rsidP="0064350B">
      <w:pPr>
        <w:jc w:val="center"/>
        <w:rPr>
          <w:rFonts w:ascii="黑体" w:eastAsia="黑体" w:hAnsi="黑体"/>
          <w:b/>
          <w:bCs/>
          <w:sz w:val="32"/>
          <w:szCs w:val="32"/>
        </w:rPr>
      </w:pPr>
      <w:bookmarkStart w:id="0" w:name="_Toc310836823"/>
      <w:bookmarkStart w:id="1" w:name="_Toc310770283"/>
      <w:bookmarkStart w:id="2" w:name="_Toc310770512"/>
      <w:bookmarkStart w:id="3" w:name="_Toc310836822"/>
      <w:bookmarkStart w:id="4" w:name="_Toc310770511"/>
      <w:bookmarkStart w:id="5" w:name="_Toc310770513"/>
      <w:bookmarkStart w:id="6" w:name="_Toc310773099"/>
      <w:bookmarkStart w:id="7" w:name="_Toc310773100"/>
      <w:bookmarkStart w:id="8" w:name="_Toc310243214"/>
      <w:bookmarkStart w:id="9" w:name="_Toc310836824"/>
      <w:bookmarkStart w:id="10" w:name="_Toc310243215"/>
      <w:bookmarkStart w:id="11" w:name="_Toc310770284"/>
      <w:bookmarkStart w:id="12" w:name="_Toc310243213"/>
      <w:bookmarkStart w:id="13" w:name="_Toc310770285"/>
      <w:bookmarkStart w:id="14" w:name="_Toc310773098"/>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64350B" w:rsidRDefault="0064350B" w:rsidP="0064350B">
      <w:pPr>
        <w:jc w:val="center"/>
        <w:rPr>
          <w:rFonts w:ascii="黑体" w:eastAsia="黑体" w:hAnsi="黑体"/>
          <w:b/>
          <w:bCs/>
          <w:sz w:val="32"/>
          <w:szCs w:val="32"/>
        </w:rPr>
      </w:pPr>
    </w:p>
    <w:p w:rsidR="0064350B" w:rsidRDefault="0064350B" w:rsidP="0064350B">
      <w:pPr>
        <w:jc w:val="center"/>
        <w:rPr>
          <w:rFonts w:ascii="黑体" w:eastAsia="黑体" w:hAnsi="黑体"/>
          <w:b/>
          <w:bCs/>
          <w:sz w:val="32"/>
          <w:szCs w:val="32"/>
        </w:rPr>
      </w:pPr>
    </w:p>
    <w:p w:rsidR="0064350B" w:rsidRDefault="0064350B" w:rsidP="0064350B">
      <w:pPr>
        <w:jc w:val="center"/>
        <w:rPr>
          <w:rFonts w:ascii="黑体" w:eastAsia="黑体" w:hAnsi="黑体"/>
          <w:b/>
          <w:bCs/>
          <w:sz w:val="32"/>
          <w:szCs w:val="32"/>
        </w:rPr>
      </w:pPr>
    </w:p>
    <w:p w:rsidR="0064350B" w:rsidRPr="007B63EE" w:rsidRDefault="0064350B" w:rsidP="0064350B">
      <w:pPr>
        <w:jc w:val="center"/>
        <w:rPr>
          <w:rFonts w:ascii="黑体" w:eastAsia="黑体" w:hAnsi="黑体"/>
          <w:b/>
          <w:sz w:val="32"/>
          <w:szCs w:val="32"/>
        </w:rPr>
      </w:pPr>
      <w:r w:rsidRPr="007B63EE">
        <w:rPr>
          <w:rFonts w:ascii="黑体" w:eastAsia="黑体" w:hAnsi="黑体" w:hint="eastAsia"/>
          <w:b/>
          <w:bCs/>
          <w:sz w:val="32"/>
          <w:szCs w:val="32"/>
        </w:rPr>
        <w:t>机构客户销售文件</w:t>
      </w:r>
    </w:p>
    <w:p w:rsidR="0064350B" w:rsidRDefault="0064350B" w:rsidP="0064350B">
      <w:pPr>
        <w:jc w:val="center"/>
        <w:rPr>
          <w:rFonts w:ascii="黑体" w:eastAsia="黑体" w:hAnsi="宋体"/>
          <w:b/>
          <w:spacing w:val="60"/>
          <w:szCs w:val="21"/>
        </w:rPr>
      </w:pPr>
    </w:p>
    <w:p w:rsidR="0064350B" w:rsidRPr="0064350B" w:rsidRDefault="0064350B" w:rsidP="0064350B">
      <w:pPr>
        <w:jc w:val="center"/>
        <w:rPr>
          <w:rFonts w:ascii="黑体" w:eastAsia="黑体" w:hAnsi="黑体"/>
          <w:b/>
          <w:bCs/>
          <w:sz w:val="32"/>
          <w:szCs w:val="32"/>
        </w:rPr>
      </w:pPr>
      <w:r w:rsidRPr="0064350B">
        <w:rPr>
          <w:rFonts w:ascii="黑体" w:eastAsia="黑体" w:hAnsi="黑体" w:hint="eastAsia"/>
          <w:b/>
          <w:bCs/>
          <w:sz w:val="32"/>
          <w:szCs w:val="32"/>
        </w:rPr>
        <w:t>珠联璧合日日聚宝现金管理类公募人民币理财产品</w:t>
      </w:r>
    </w:p>
    <w:p w:rsidR="0064350B" w:rsidRPr="00372C07" w:rsidRDefault="0064350B" w:rsidP="0064350B">
      <w:pPr>
        <w:jc w:val="center"/>
        <w:rPr>
          <w:rFonts w:ascii="黑体" w:eastAsia="黑体" w:hAnsi="黑体"/>
          <w:b/>
          <w:bCs/>
          <w:sz w:val="32"/>
          <w:szCs w:val="32"/>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jc w:val="center"/>
        <w:rPr>
          <w:szCs w:val="21"/>
        </w:rPr>
      </w:pPr>
    </w:p>
    <w:p w:rsidR="0064350B" w:rsidRDefault="0064350B" w:rsidP="0064350B">
      <w:pPr>
        <w:tabs>
          <w:tab w:val="left" w:pos="0"/>
        </w:tabs>
        <w:jc w:val="center"/>
        <w:rPr>
          <w:rFonts w:ascii="宋体" w:hAnsi="宋体"/>
          <w:szCs w:val="21"/>
        </w:rPr>
      </w:pPr>
      <w:r>
        <w:rPr>
          <w:rFonts w:ascii="宋体" w:hAnsi="宋体" w:hint="eastAsia"/>
          <w:szCs w:val="21"/>
        </w:rPr>
        <w:t>编制单位：</w:t>
      </w:r>
      <w:r>
        <w:rPr>
          <w:rFonts w:ascii="宋体" w:hAnsi="宋体" w:hint="eastAsia"/>
          <w:szCs w:val="21"/>
          <w:u w:val="single"/>
        </w:rPr>
        <w:t xml:space="preserve"> 南京银行股份有限公司</w:t>
      </w:r>
    </w:p>
    <w:p w:rsidR="0064350B" w:rsidRDefault="0064350B" w:rsidP="0064350B">
      <w:pPr>
        <w:tabs>
          <w:tab w:val="left" w:pos="142"/>
          <w:tab w:val="left" w:pos="2580"/>
        </w:tabs>
        <w:rPr>
          <w:szCs w:val="21"/>
        </w:rPr>
      </w:pPr>
      <w:r>
        <w:rPr>
          <w:rFonts w:ascii="宋体" w:hAnsi="宋体" w:hint="eastAsia"/>
          <w:szCs w:val="21"/>
        </w:rPr>
        <w:tab/>
      </w:r>
      <w:r>
        <w:rPr>
          <w:rFonts w:ascii="宋体" w:hAnsi="宋体" w:hint="eastAsia"/>
          <w:szCs w:val="21"/>
        </w:rPr>
        <w:tab/>
        <w:t xml:space="preserve">             版 次 号：</w:t>
      </w:r>
      <w:r>
        <w:rPr>
          <w:rFonts w:ascii="宋体" w:hAnsi="宋体" w:hint="eastAsia"/>
          <w:szCs w:val="21"/>
          <w:u w:val="single"/>
        </w:rPr>
        <w:t xml:space="preserve">  </w:t>
      </w:r>
      <w:r>
        <w:rPr>
          <w:rFonts w:ascii="宋体" w:hAnsi="宋体"/>
          <w:szCs w:val="21"/>
          <w:u w:val="single"/>
        </w:rPr>
        <w:t>2019.04</w:t>
      </w:r>
      <w:r>
        <w:rPr>
          <w:rFonts w:ascii="宋体" w:hAnsi="宋体" w:hint="eastAsia"/>
          <w:szCs w:val="21"/>
          <w:u w:val="single"/>
        </w:rPr>
        <w:t xml:space="preserve">版  </w:t>
      </w:r>
      <w:r>
        <w:rPr>
          <w:rFonts w:ascii="宋体" w:hAnsi="宋体"/>
          <w:szCs w:val="21"/>
        </w:rPr>
        <w:br w:type="page"/>
      </w:r>
      <w:bookmarkStart w:id="15" w:name="OLE_LINK1"/>
    </w:p>
    <w:p w:rsidR="0064350B" w:rsidRDefault="0064350B" w:rsidP="0064350B">
      <w:pPr>
        <w:pStyle w:val="1"/>
        <w:numPr>
          <w:ilvl w:val="0"/>
          <w:numId w:val="5"/>
        </w:numPr>
        <w:spacing w:after="0" w:line="240" w:lineRule="auto"/>
        <w:ind w:left="0" w:firstLine="0"/>
        <w:jc w:val="center"/>
        <w:rPr>
          <w:rFonts w:ascii="黑体" w:eastAsia="黑体" w:hAnsi="宋体"/>
          <w:sz w:val="24"/>
          <w:szCs w:val="21"/>
          <w:lang w:eastAsia="zh-CN"/>
        </w:rPr>
      </w:pPr>
      <w:bookmarkStart w:id="16" w:name="OLE_LINK2"/>
      <w:r>
        <w:rPr>
          <w:rFonts w:ascii="黑体" w:eastAsia="黑体" w:hAnsi="宋体" w:hint="eastAsia"/>
          <w:sz w:val="24"/>
          <w:szCs w:val="21"/>
          <w:lang w:eastAsia="zh-CN"/>
        </w:rPr>
        <w:lastRenderedPageBreak/>
        <w:t>投资者权益须知</w:t>
      </w:r>
    </w:p>
    <w:p w:rsidR="0064350B" w:rsidRDefault="0064350B" w:rsidP="00267762">
      <w:pPr>
        <w:pStyle w:val="a7"/>
        <w:widowControl w:val="0"/>
        <w:snapToGrid w:val="0"/>
        <w:spacing w:beforeLines="50" w:afterLines="50" w:line="240" w:lineRule="auto"/>
        <w:ind w:firstLine="0"/>
        <w:jc w:val="center"/>
        <w:rPr>
          <w:rFonts w:ascii="宋体" w:hAnsi="宋体"/>
          <w:b/>
          <w:i/>
          <w:szCs w:val="21"/>
          <w:u w:val="single"/>
        </w:rPr>
      </w:pPr>
      <w:r>
        <w:rPr>
          <w:rFonts w:ascii="宋体" w:hAnsi="宋体" w:hint="eastAsia"/>
          <w:b/>
          <w:i/>
          <w:szCs w:val="21"/>
          <w:u w:val="single"/>
        </w:rPr>
        <w:t>“理财非存款、产品有风险、投资须谨慎”！</w:t>
      </w:r>
    </w:p>
    <w:p w:rsidR="0064350B" w:rsidRDefault="0064350B" w:rsidP="0064350B">
      <w:pPr>
        <w:pStyle w:val="a7"/>
        <w:spacing w:line="240" w:lineRule="auto"/>
        <w:ind w:firstLine="0"/>
        <w:rPr>
          <w:spacing w:val="10"/>
          <w:kern w:val="2"/>
          <w:sz w:val="21"/>
          <w:szCs w:val="21"/>
        </w:rPr>
      </w:pPr>
      <w:r>
        <w:rPr>
          <w:rFonts w:hint="eastAsia"/>
          <w:spacing w:val="10"/>
          <w:kern w:val="2"/>
          <w:sz w:val="21"/>
          <w:szCs w:val="21"/>
        </w:rPr>
        <w:t>尊敬的机构投资者：</w:t>
      </w:r>
    </w:p>
    <w:p w:rsidR="0064350B" w:rsidRDefault="0064350B" w:rsidP="0064350B">
      <w:pPr>
        <w:pStyle w:val="a7"/>
        <w:spacing w:line="240" w:lineRule="auto"/>
        <w:ind w:firstLineChars="200" w:firstLine="460"/>
        <w:rPr>
          <w:spacing w:val="10"/>
          <w:kern w:val="2"/>
          <w:sz w:val="21"/>
          <w:szCs w:val="21"/>
        </w:rPr>
      </w:pPr>
      <w:r>
        <w:rPr>
          <w:rFonts w:hint="eastAsia"/>
          <w:spacing w:val="10"/>
          <w:kern w:val="2"/>
          <w:sz w:val="21"/>
          <w:szCs w:val="21"/>
        </w:rPr>
        <w:t>理财产品在投资并获取收益的同时也存在投资风险。为了保护机构投资者（以下简称“投资者”）的合法权益，请在投资理财产品前认真阅读以下内容：</w:t>
      </w:r>
    </w:p>
    <w:p w:rsidR="0064350B" w:rsidRDefault="0064350B" w:rsidP="0064350B">
      <w:pPr>
        <w:pStyle w:val="a7"/>
        <w:widowControl w:val="0"/>
        <w:tabs>
          <w:tab w:val="left" w:pos="1520"/>
          <w:tab w:val="left" w:pos="1871"/>
        </w:tabs>
        <w:snapToGrid w:val="0"/>
        <w:spacing w:before="0" w:after="0" w:line="240" w:lineRule="atLeast"/>
        <w:ind w:firstLine="426"/>
        <w:jc w:val="both"/>
        <w:rPr>
          <w:b/>
          <w:sz w:val="22"/>
          <w:szCs w:val="21"/>
        </w:rPr>
      </w:pPr>
      <w:r>
        <w:rPr>
          <w:rFonts w:hint="eastAsia"/>
          <w:b/>
          <w:sz w:val="22"/>
          <w:szCs w:val="21"/>
        </w:rPr>
        <w:t>第一条</w:t>
      </w:r>
      <w:r>
        <w:rPr>
          <w:rFonts w:hint="eastAsia"/>
          <w:b/>
          <w:sz w:val="22"/>
          <w:szCs w:val="21"/>
        </w:rPr>
        <w:t xml:space="preserve"> </w:t>
      </w:r>
      <w:r>
        <w:rPr>
          <w:rFonts w:hint="eastAsia"/>
          <w:b/>
          <w:sz w:val="22"/>
          <w:szCs w:val="21"/>
        </w:rPr>
        <w:t>理财产品购买和服务流程说明</w:t>
      </w:r>
    </w:p>
    <w:p w:rsidR="0064350B" w:rsidRDefault="0064350B" w:rsidP="0064350B">
      <w:pPr>
        <w:widowControl/>
        <w:snapToGrid w:val="0"/>
        <w:spacing w:line="240" w:lineRule="atLeast"/>
        <w:ind w:firstLineChars="185" w:firstLine="425"/>
        <w:jc w:val="left"/>
        <w:rPr>
          <w:color w:val="000000"/>
          <w:spacing w:val="10"/>
          <w:szCs w:val="21"/>
          <w:u w:color="000000"/>
        </w:rPr>
      </w:pPr>
      <w:r>
        <w:rPr>
          <w:rFonts w:hint="eastAsia"/>
          <w:color w:val="000000"/>
          <w:spacing w:val="10"/>
          <w:szCs w:val="21"/>
          <w:u w:color="000000"/>
        </w:rPr>
        <w:t>（一）阅读理财产品销售文件。投资者应仔细阅读拟购买理财产品销售文件（以下简称“销售文件”），包括但不限于：《理财产品协议书》、《理财产品说明书》、《理财产品风险揭示书》、《投资者权益须知》等。投资者可以向南京银行（以下简称“银行”）理财服务人员咨询理财产品风险等级、期限、投资范围、销售文件相关细节、疑问等，银行理财服务人员给予解答。</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（二）理财</w:t>
      </w:r>
      <w:r>
        <w:rPr>
          <w:rFonts w:ascii="宋体" w:hAnsi="宋体" w:hint="eastAsia"/>
          <w:spacing w:val="10"/>
          <w:szCs w:val="21"/>
        </w:rPr>
        <w:t>签约。投资者向银行申请购买理财产品前须开立银行账户，通过理财签约交易开通理财账户。若选择线上签约,</w:t>
      </w:r>
      <w:r>
        <w:rPr>
          <w:rFonts w:hint="eastAsia"/>
          <w:spacing w:val="10"/>
          <w:szCs w:val="21"/>
        </w:rPr>
        <w:t xml:space="preserve"> </w:t>
      </w:r>
      <w:r>
        <w:rPr>
          <w:rFonts w:hint="eastAsia"/>
          <w:spacing w:val="10"/>
          <w:szCs w:val="21"/>
        </w:rPr>
        <w:t>投资者在银行电子渠道理财签约界面点击确认按钮后即视为签约完毕；若选择线下签约</w:t>
      </w:r>
      <w:r>
        <w:rPr>
          <w:rFonts w:ascii="宋体" w:hAnsi="宋体" w:hint="eastAsia"/>
          <w:spacing w:val="10"/>
          <w:szCs w:val="21"/>
        </w:rPr>
        <w:t>，投资者需提供：</w:t>
      </w:r>
      <w:r>
        <w:rPr>
          <w:rFonts w:hint="eastAsia"/>
          <w:color w:val="000000"/>
          <w:spacing w:val="10"/>
          <w:szCs w:val="21"/>
          <w:u w:color="000000"/>
        </w:rPr>
        <w:t>三证合一后的营业执照（如客户尚未三证合一，须提供营业执照、组织机构代码证、税务登记证）、开户许可证、开户单位为分支机构的，还应提交法人授权、民政部门或其他主管部门颁发的注册登记证书，法定代表人身份证、授权经办人办理理财业务的授权委托书、被授权人的身份证、依照监管部门规定，银行要求投资者提供的其他材料（所有资料提供原件和复印件并加盖机构公章）。</w:t>
      </w:r>
      <w:r>
        <w:rPr>
          <w:rFonts w:ascii="宋体" w:hAnsi="宋体" w:hint="eastAsia"/>
          <w:spacing w:val="10"/>
          <w:szCs w:val="21"/>
        </w:rPr>
        <w:t>签署</w:t>
      </w:r>
      <w:r>
        <w:rPr>
          <w:rFonts w:hint="eastAsia"/>
          <w:color w:val="000000"/>
          <w:spacing w:val="10"/>
          <w:szCs w:val="21"/>
          <w:u w:color="000000"/>
        </w:rPr>
        <w:t>《理财业务开户</w:t>
      </w:r>
      <w:r>
        <w:rPr>
          <w:rFonts w:hint="eastAsia"/>
          <w:color w:val="000000"/>
          <w:spacing w:val="10"/>
          <w:szCs w:val="21"/>
          <w:u w:color="000000"/>
        </w:rPr>
        <w:t>/</w:t>
      </w:r>
      <w:r>
        <w:rPr>
          <w:rFonts w:hint="eastAsia"/>
          <w:color w:val="000000"/>
          <w:spacing w:val="10"/>
          <w:szCs w:val="21"/>
          <w:u w:color="000000"/>
        </w:rPr>
        <w:t>认购产品申请书》</w:t>
      </w:r>
      <w:r>
        <w:rPr>
          <w:rFonts w:ascii="宋体" w:hAnsi="宋体" w:hint="eastAsia"/>
          <w:spacing w:val="10"/>
          <w:szCs w:val="21"/>
        </w:rPr>
        <w:t>（一式两份）且盖章后视为确认签约完毕。</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（三）理财产品认</w:t>
      </w:r>
      <w:r>
        <w:rPr>
          <w:rFonts w:hint="eastAsia"/>
          <w:color w:val="000000"/>
          <w:spacing w:val="10"/>
          <w:szCs w:val="21"/>
          <w:u w:color="000000"/>
        </w:rPr>
        <w:t>/</w:t>
      </w:r>
      <w:r>
        <w:rPr>
          <w:rFonts w:hint="eastAsia"/>
          <w:color w:val="000000"/>
          <w:spacing w:val="10"/>
          <w:szCs w:val="21"/>
          <w:u w:color="000000"/>
        </w:rPr>
        <w:t>申购申请。</w:t>
      </w:r>
    </w:p>
    <w:p w:rsidR="0064350B" w:rsidRDefault="0064350B" w:rsidP="0064350B">
      <w:pPr>
        <w:ind w:firstLineChars="200" w:firstLine="460"/>
        <w:rPr>
          <w:color w:val="000000"/>
          <w:spacing w:val="10"/>
          <w:szCs w:val="21"/>
          <w:u w:color="000000"/>
        </w:rPr>
      </w:pPr>
      <w:r>
        <w:rPr>
          <w:rFonts w:hint="eastAsia"/>
          <w:color w:val="000000"/>
          <w:spacing w:val="10"/>
          <w:szCs w:val="21"/>
          <w:u w:color="000000"/>
        </w:rPr>
        <w:t>投资者自主决定是否购买理财产品。在理财产品募集期</w:t>
      </w:r>
      <w:r>
        <w:rPr>
          <w:rFonts w:hint="eastAsia"/>
          <w:color w:val="000000"/>
          <w:spacing w:val="10"/>
          <w:szCs w:val="21"/>
          <w:u w:color="000000"/>
        </w:rPr>
        <w:t>/</w:t>
      </w:r>
      <w:r>
        <w:rPr>
          <w:rFonts w:hint="eastAsia"/>
          <w:color w:val="000000"/>
          <w:spacing w:val="10"/>
          <w:szCs w:val="21"/>
          <w:u w:color="000000"/>
        </w:rPr>
        <w:t>开放期销售时段内，投资者可选择在银行营业网点或电子渠道购买。如投资者选择在银行营业网点购买理财产品，按照对应期次的《理财产品说明书》约定的币种和金额存入理财账户，银行柜面服务人员通过柜面相关交易录入投资者认</w:t>
      </w:r>
      <w:r>
        <w:rPr>
          <w:rFonts w:hint="eastAsia"/>
          <w:color w:val="000000"/>
          <w:spacing w:val="10"/>
          <w:szCs w:val="21"/>
          <w:u w:color="000000"/>
        </w:rPr>
        <w:t>/</w:t>
      </w:r>
      <w:r>
        <w:rPr>
          <w:rFonts w:hint="eastAsia"/>
          <w:color w:val="000000"/>
          <w:spacing w:val="10"/>
          <w:szCs w:val="21"/>
          <w:u w:color="000000"/>
        </w:rPr>
        <w:t>申购信息，完成认</w:t>
      </w:r>
      <w:r>
        <w:rPr>
          <w:rFonts w:hint="eastAsia"/>
          <w:color w:val="000000"/>
          <w:spacing w:val="10"/>
          <w:szCs w:val="21"/>
          <w:u w:color="000000"/>
        </w:rPr>
        <w:t>/</w:t>
      </w:r>
      <w:r>
        <w:rPr>
          <w:rFonts w:hint="eastAsia"/>
          <w:color w:val="000000"/>
          <w:spacing w:val="10"/>
          <w:szCs w:val="21"/>
          <w:u w:color="000000"/>
        </w:rPr>
        <w:t>申购交易；如投资者选择在银行电子渠道购买理财产品，投资者需通过银行相关电子渠道仔细阅读理财产品销售文件，根据认</w:t>
      </w:r>
      <w:r>
        <w:rPr>
          <w:rFonts w:hint="eastAsia"/>
          <w:color w:val="000000"/>
          <w:spacing w:val="10"/>
          <w:szCs w:val="21"/>
          <w:u w:color="000000"/>
        </w:rPr>
        <w:t>/</w:t>
      </w:r>
      <w:r>
        <w:rPr>
          <w:rFonts w:hint="eastAsia"/>
          <w:color w:val="000000"/>
          <w:spacing w:val="10"/>
          <w:szCs w:val="21"/>
          <w:u w:color="000000"/>
        </w:rPr>
        <w:t>申购流程逐项点击确认进行购买。</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（四）理财产品认</w:t>
      </w:r>
      <w:r>
        <w:rPr>
          <w:rFonts w:hint="eastAsia"/>
          <w:color w:val="000000"/>
          <w:spacing w:val="10"/>
          <w:szCs w:val="21"/>
          <w:u w:color="000000"/>
        </w:rPr>
        <w:t>/</w:t>
      </w:r>
      <w:r>
        <w:rPr>
          <w:rFonts w:hint="eastAsia"/>
          <w:color w:val="000000"/>
          <w:spacing w:val="10"/>
          <w:szCs w:val="21"/>
          <w:u w:color="000000"/>
        </w:rPr>
        <w:t>申购申请撤销。投资者在理财产品募集期</w:t>
      </w:r>
      <w:r>
        <w:rPr>
          <w:rFonts w:hint="eastAsia"/>
          <w:color w:val="000000"/>
          <w:spacing w:val="10"/>
          <w:szCs w:val="21"/>
          <w:u w:color="000000"/>
        </w:rPr>
        <w:t>/</w:t>
      </w:r>
      <w:r>
        <w:rPr>
          <w:rFonts w:hint="eastAsia"/>
          <w:color w:val="000000"/>
          <w:spacing w:val="10"/>
          <w:szCs w:val="21"/>
          <w:u w:color="000000"/>
        </w:rPr>
        <w:t>开放期</w:t>
      </w:r>
      <w:r>
        <w:rPr>
          <w:rFonts w:hint="eastAsia"/>
          <w:color w:val="000000"/>
          <w:spacing w:val="10"/>
          <w:szCs w:val="21"/>
          <w:u w:color="000000"/>
        </w:rPr>
        <w:t>/</w:t>
      </w:r>
      <w:r>
        <w:rPr>
          <w:rFonts w:hint="eastAsia"/>
          <w:color w:val="000000"/>
          <w:spacing w:val="10"/>
          <w:szCs w:val="21"/>
          <w:u w:color="000000"/>
        </w:rPr>
        <w:t>投资冷静期（私募产品适用）内，可以撤销已经购买但尚未正式扣款的理财产品购买申请。</w:t>
      </w:r>
    </w:p>
    <w:p w:rsidR="0064350B" w:rsidRDefault="0064350B" w:rsidP="0064350B">
      <w:pPr>
        <w:widowControl/>
        <w:ind w:firstLineChars="185" w:firstLine="425"/>
        <w:jc w:val="left"/>
        <w:rPr>
          <w:color w:val="000000"/>
          <w:spacing w:val="10"/>
          <w:szCs w:val="21"/>
          <w:u w:color="000000"/>
        </w:rPr>
      </w:pPr>
      <w:r>
        <w:rPr>
          <w:rFonts w:hint="eastAsia"/>
          <w:color w:val="000000"/>
          <w:spacing w:val="10"/>
          <w:szCs w:val="21"/>
          <w:u w:color="000000"/>
        </w:rPr>
        <w:t>（五）理财产品提前终止、赎回</w:t>
      </w:r>
      <w:r>
        <w:rPr>
          <w:rFonts w:hint="eastAsia"/>
          <w:color w:val="000000"/>
          <w:spacing w:val="10"/>
          <w:szCs w:val="21"/>
          <w:u w:color="000000"/>
        </w:rPr>
        <w:t>/</w:t>
      </w:r>
      <w:r>
        <w:rPr>
          <w:rFonts w:hint="eastAsia"/>
          <w:color w:val="000000"/>
          <w:spacing w:val="10"/>
          <w:szCs w:val="21"/>
          <w:u w:color="000000"/>
        </w:rPr>
        <w:t>到期兑付和税收。</w:t>
      </w:r>
    </w:p>
    <w:p w:rsidR="0064350B" w:rsidRDefault="0064350B" w:rsidP="0064350B">
      <w:pPr>
        <w:ind w:firstLineChars="200" w:firstLine="460"/>
        <w:rPr>
          <w:color w:val="000000"/>
          <w:spacing w:val="10"/>
          <w:szCs w:val="21"/>
          <w:u w:color="000000"/>
          <w:shd w:val="pct10" w:color="auto" w:fill="FFFFFF"/>
        </w:rPr>
      </w:pPr>
      <w:r>
        <w:rPr>
          <w:rFonts w:hint="eastAsia"/>
          <w:color w:val="000000"/>
          <w:spacing w:val="10"/>
          <w:szCs w:val="21"/>
          <w:u w:color="000000"/>
        </w:rPr>
        <w:t>提前终止—当理财产品发生全部提前终止时，银行按照对应期次的《理财产品说明书》约定向客户告知。</w:t>
      </w:r>
    </w:p>
    <w:p w:rsidR="0064350B" w:rsidRDefault="0064350B" w:rsidP="0064350B">
      <w:pPr>
        <w:widowControl/>
        <w:ind w:firstLineChars="185" w:firstLine="425"/>
        <w:jc w:val="left"/>
        <w:rPr>
          <w:color w:val="000000"/>
          <w:spacing w:val="10"/>
          <w:szCs w:val="21"/>
          <w:u w:color="000000"/>
        </w:rPr>
      </w:pPr>
      <w:r>
        <w:rPr>
          <w:rFonts w:hint="eastAsia"/>
          <w:color w:val="000000"/>
          <w:spacing w:val="10"/>
          <w:szCs w:val="21"/>
          <w:u w:color="000000"/>
        </w:rPr>
        <w:t>赎回</w:t>
      </w:r>
      <w:r>
        <w:rPr>
          <w:rFonts w:hint="eastAsia"/>
          <w:color w:val="000000"/>
          <w:spacing w:val="10"/>
          <w:szCs w:val="21"/>
          <w:u w:color="000000"/>
        </w:rPr>
        <w:t>/</w:t>
      </w:r>
      <w:r>
        <w:rPr>
          <w:rFonts w:hint="eastAsia"/>
          <w:color w:val="000000"/>
          <w:spacing w:val="10"/>
          <w:szCs w:val="21"/>
          <w:u w:color="000000"/>
        </w:rPr>
        <w:t>到期兑付—银行按照对应期次的《理财产品说明书》约定，将赎回</w:t>
      </w:r>
      <w:r>
        <w:rPr>
          <w:rFonts w:hint="eastAsia"/>
          <w:color w:val="000000"/>
          <w:spacing w:val="10"/>
          <w:szCs w:val="21"/>
          <w:u w:color="000000"/>
        </w:rPr>
        <w:t>/</w:t>
      </w:r>
      <w:r>
        <w:rPr>
          <w:rFonts w:hint="eastAsia"/>
          <w:color w:val="000000"/>
          <w:spacing w:val="10"/>
          <w:szCs w:val="21"/>
          <w:u w:color="000000"/>
        </w:rPr>
        <w:t>兑付款项划入销售文件约定的投资者授权指定账户。</w:t>
      </w:r>
    </w:p>
    <w:p w:rsidR="0064350B" w:rsidRDefault="0064350B" w:rsidP="0064350B">
      <w:pPr>
        <w:widowControl/>
        <w:tabs>
          <w:tab w:val="left" w:pos="1520"/>
          <w:tab w:val="left" w:pos="1871"/>
        </w:tabs>
        <w:ind w:firstLineChars="185" w:firstLine="425"/>
        <w:jc w:val="left"/>
        <w:rPr>
          <w:color w:val="000000"/>
          <w:spacing w:val="10"/>
          <w:szCs w:val="21"/>
          <w:u w:color="000000"/>
        </w:rPr>
      </w:pPr>
      <w:r>
        <w:rPr>
          <w:rFonts w:hint="eastAsia"/>
          <w:color w:val="000000"/>
          <w:spacing w:val="10"/>
          <w:szCs w:val="21"/>
          <w:u w:color="000000"/>
        </w:rPr>
        <w:t>税收—以对应期次的《理财产品说明书》约定为准，如遇国家政策调整则相应执行最新政策。</w:t>
      </w:r>
    </w:p>
    <w:p w:rsidR="0064350B" w:rsidRDefault="0064350B" w:rsidP="0064350B">
      <w:pPr>
        <w:pStyle w:val="a7"/>
        <w:widowControl w:val="0"/>
        <w:tabs>
          <w:tab w:val="left" w:pos="1520"/>
          <w:tab w:val="left" w:pos="1871"/>
        </w:tabs>
        <w:snapToGrid w:val="0"/>
        <w:spacing w:before="0" w:after="0" w:line="240" w:lineRule="atLeast"/>
        <w:jc w:val="both"/>
        <w:rPr>
          <w:b/>
          <w:color w:val="auto"/>
          <w:sz w:val="22"/>
          <w:szCs w:val="21"/>
        </w:rPr>
      </w:pPr>
      <w:r>
        <w:rPr>
          <w:rFonts w:hint="eastAsia"/>
          <w:b/>
          <w:color w:val="auto"/>
          <w:sz w:val="22"/>
          <w:szCs w:val="21"/>
        </w:rPr>
        <w:t>第二条</w:t>
      </w:r>
      <w:r>
        <w:rPr>
          <w:rFonts w:hint="eastAsia"/>
          <w:b/>
          <w:color w:val="auto"/>
          <w:sz w:val="22"/>
          <w:szCs w:val="21"/>
        </w:rPr>
        <w:t xml:space="preserve"> </w:t>
      </w:r>
      <w:r>
        <w:rPr>
          <w:rFonts w:hint="eastAsia"/>
          <w:b/>
          <w:color w:val="auto"/>
          <w:sz w:val="22"/>
          <w:szCs w:val="21"/>
        </w:rPr>
        <w:t>银行理财产品风险等级说明。</w:t>
      </w:r>
    </w:p>
    <w:p w:rsidR="0064350B" w:rsidRDefault="0064350B" w:rsidP="0064350B">
      <w:pPr>
        <w:ind w:firstLineChars="185" w:firstLine="425"/>
        <w:rPr>
          <w:spacing w:val="10"/>
          <w:szCs w:val="21"/>
          <w:u w:color="000000"/>
        </w:rPr>
      </w:pPr>
      <w:r>
        <w:rPr>
          <w:rFonts w:hint="eastAsia"/>
          <w:spacing w:val="10"/>
          <w:szCs w:val="21"/>
          <w:u w:color="000000"/>
        </w:rPr>
        <w:t>银行理财产品按运行方式和投资范围不同，其承担的风险程度各有不同，银行将其风险等级分为五级，分别为：低（一级）、中低（二级）、中（三级）、中高（四级）和高（五级）。</w:t>
      </w:r>
    </w:p>
    <w:p w:rsidR="0064350B" w:rsidRDefault="0064350B" w:rsidP="0064350B">
      <w:pPr>
        <w:pStyle w:val="a7"/>
        <w:widowControl w:val="0"/>
        <w:tabs>
          <w:tab w:val="left" w:pos="1520"/>
          <w:tab w:val="left" w:pos="1871"/>
        </w:tabs>
        <w:snapToGrid w:val="0"/>
        <w:spacing w:before="0" w:after="0" w:line="240" w:lineRule="atLeast"/>
        <w:ind w:firstLine="426"/>
        <w:jc w:val="both"/>
        <w:rPr>
          <w:b/>
          <w:sz w:val="22"/>
          <w:szCs w:val="21"/>
        </w:rPr>
      </w:pPr>
      <w:r>
        <w:rPr>
          <w:rFonts w:hint="eastAsia"/>
          <w:b/>
          <w:sz w:val="22"/>
          <w:szCs w:val="21"/>
        </w:rPr>
        <w:t>第三条</w:t>
      </w:r>
      <w:r>
        <w:rPr>
          <w:rFonts w:hint="eastAsia"/>
          <w:b/>
          <w:sz w:val="22"/>
          <w:szCs w:val="21"/>
        </w:rPr>
        <w:t xml:space="preserve"> </w:t>
      </w:r>
      <w:r>
        <w:rPr>
          <w:rFonts w:hint="eastAsia"/>
          <w:b/>
          <w:sz w:val="22"/>
          <w:szCs w:val="21"/>
        </w:rPr>
        <w:t>理财产品信息披露的方式、渠道和频率说明</w:t>
      </w:r>
    </w:p>
    <w:p w:rsidR="0064350B" w:rsidRDefault="0064350B" w:rsidP="0064350B">
      <w:pPr>
        <w:ind w:firstLineChars="200" w:firstLine="460"/>
        <w:rPr>
          <w:color w:val="000000"/>
          <w:spacing w:val="10"/>
          <w:szCs w:val="21"/>
          <w:u w:color="000000"/>
        </w:rPr>
      </w:pPr>
      <w:r>
        <w:rPr>
          <w:rFonts w:hint="eastAsia"/>
          <w:color w:val="000000"/>
          <w:spacing w:val="10"/>
          <w:szCs w:val="21"/>
          <w:u w:color="000000"/>
        </w:rPr>
        <w:t>银行按照对应期次《理财产品说明书》的约定，通过银行网站等电子渠道，发布理财产品的成立、运作、到期清算或提前终止等信息公告。</w:t>
      </w:r>
    </w:p>
    <w:p w:rsidR="0064350B" w:rsidRDefault="0064350B" w:rsidP="0064350B">
      <w:pPr>
        <w:pStyle w:val="a7"/>
        <w:spacing w:before="0" w:after="0" w:line="240" w:lineRule="auto"/>
        <w:ind w:firstLineChars="200" w:firstLine="482"/>
        <w:rPr>
          <w:b/>
          <w:bCs/>
          <w:color w:val="auto"/>
          <w:spacing w:val="10"/>
          <w:kern w:val="2"/>
          <w:sz w:val="22"/>
          <w:szCs w:val="22"/>
        </w:rPr>
      </w:pPr>
      <w:r>
        <w:rPr>
          <w:rFonts w:hint="eastAsia"/>
          <w:b/>
          <w:bCs/>
          <w:color w:val="auto"/>
          <w:spacing w:val="10"/>
          <w:kern w:val="2"/>
          <w:sz w:val="22"/>
          <w:szCs w:val="22"/>
        </w:rPr>
        <w:t>第四条</w:t>
      </w:r>
      <w:r>
        <w:rPr>
          <w:rFonts w:hint="eastAsia"/>
          <w:b/>
          <w:bCs/>
          <w:color w:val="auto"/>
          <w:spacing w:val="10"/>
          <w:kern w:val="2"/>
          <w:sz w:val="22"/>
          <w:szCs w:val="22"/>
        </w:rPr>
        <w:t xml:space="preserve"> </w:t>
      </w:r>
      <w:r>
        <w:rPr>
          <w:rFonts w:hint="eastAsia"/>
          <w:b/>
          <w:bCs/>
          <w:color w:val="auto"/>
          <w:spacing w:val="10"/>
          <w:kern w:val="2"/>
          <w:sz w:val="22"/>
          <w:szCs w:val="22"/>
        </w:rPr>
        <w:t>投资者信息保护</w:t>
      </w:r>
    </w:p>
    <w:p w:rsidR="0064350B" w:rsidRDefault="0064350B" w:rsidP="0064350B">
      <w:pPr>
        <w:pStyle w:val="a7"/>
        <w:spacing w:before="0" w:after="0" w:line="240" w:lineRule="auto"/>
        <w:ind w:firstLineChars="300" w:firstLine="690"/>
        <w:rPr>
          <w:color w:val="auto"/>
          <w:spacing w:val="10"/>
          <w:kern w:val="2"/>
          <w:sz w:val="21"/>
          <w:szCs w:val="21"/>
        </w:rPr>
      </w:pPr>
      <w:r>
        <w:rPr>
          <w:rFonts w:hint="eastAsia"/>
          <w:color w:val="auto"/>
          <w:spacing w:val="10"/>
          <w:kern w:val="2"/>
          <w:sz w:val="21"/>
          <w:szCs w:val="21"/>
        </w:rPr>
        <w:t>银行承诺依法履行投资者信息保密义务，防范投资者信息被不当采集、使用、传输和泄露，保护投资者的信息安全，监管另有规定的情形除外。</w:t>
      </w:r>
    </w:p>
    <w:p w:rsidR="0064350B" w:rsidRDefault="0064350B" w:rsidP="0064350B">
      <w:pPr>
        <w:ind w:left="860"/>
        <w:rPr>
          <w:rFonts w:ascii="宋体" w:hAnsi="宋体"/>
          <w:spacing w:val="10"/>
          <w:szCs w:val="21"/>
        </w:rPr>
      </w:pPr>
    </w:p>
    <w:p w:rsidR="0064350B" w:rsidRDefault="0064350B" w:rsidP="0064350B">
      <w:pPr>
        <w:pStyle w:val="a7"/>
        <w:widowControl w:val="0"/>
        <w:tabs>
          <w:tab w:val="left" w:pos="1520"/>
          <w:tab w:val="left" w:pos="1871"/>
        </w:tabs>
        <w:snapToGrid w:val="0"/>
        <w:spacing w:before="0" w:after="0" w:line="240" w:lineRule="atLeast"/>
        <w:ind w:firstLine="426"/>
        <w:jc w:val="both"/>
        <w:rPr>
          <w:b/>
          <w:sz w:val="22"/>
          <w:szCs w:val="21"/>
        </w:rPr>
      </w:pPr>
      <w:r>
        <w:rPr>
          <w:rFonts w:hint="eastAsia"/>
          <w:b/>
          <w:sz w:val="22"/>
          <w:szCs w:val="21"/>
        </w:rPr>
        <w:t>第五条</w:t>
      </w:r>
      <w:r>
        <w:rPr>
          <w:rFonts w:hint="eastAsia"/>
          <w:b/>
          <w:sz w:val="22"/>
          <w:szCs w:val="21"/>
        </w:rPr>
        <w:t xml:space="preserve"> </w:t>
      </w:r>
      <w:r>
        <w:rPr>
          <w:rFonts w:hint="eastAsia"/>
          <w:b/>
          <w:sz w:val="22"/>
          <w:szCs w:val="21"/>
        </w:rPr>
        <w:t>投资者向银行投诉的方式和程序</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投资者若需投诉，请随时拨打银行全国统一客户服务热线进行投诉。</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投资者的投诉将被记录，并在银行内部形成投诉处理工作单，银行相关部门和人员将在接到投资者的投诉后，按照相关流程进行处理。</w:t>
      </w:r>
      <w:r>
        <w:rPr>
          <w:rFonts w:hint="eastAsia"/>
          <w:color w:val="000000"/>
          <w:spacing w:val="10"/>
          <w:szCs w:val="21"/>
          <w:u w:color="000000"/>
        </w:rPr>
        <w:t xml:space="preserve">    </w:t>
      </w:r>
    </w:p>
    <w:p w:rsidR="0064350B" w:rsidRDefault="0064350B" w:rsidP="0064350B">
      <w:pPr>
        <w:pStyle w:val="a7"/>
        <w:widowControl w:val="0"/>
        <w:tabs>
          <w:tab w:val="left" w:pos="1520"/>
          <w:tab w:val="left" w:pos="1871"/>
        </w:tabs>
        <w:snapToGrid w:val="0"/>
        <w:spacing w:before="0" w:after="0" w:line="240" w:lineRule="atLeast"/>
        <w:ind w:left="372" w:firstLine="372"/>
        <w:jc w:val="both"/>
        <w:rPr>
          <w:b/>
          <w:sz w:val="22"/>
          <w:szCs w:val="21"/>
        </w:rPr>
      </w:pPr>
    </w:p>
    <w:p w:rsidR="0064350B" w:rsidRDefault="0064350B" w:rsidP="0064350B">
      <w:pPr>
        <w:pStyle w:val="a7"/>
        <w:widowControl w:val="0"/>
        <w:tabs>
          <w:tab w:val="left" w:pos="1520"/>
          <w:tab w:val="left" w:pos="1871"/>
        </w:tabs>
        <w:snapToGrid w:val="0"/>
        <w:spacing w:before="0" w:after="0" w:line="240" w:lineRule="atLeast"/>
        <w:ind w:firstLine="426"/>
        <w:jc w:val="both"/>
        <w:rPr>
          <w:b/>
          <w:sz w:val="22"/>
          <w:szCs w:val="21"/>
        </w:rPr>
      </w:pPr>
      <w:r>
        <w:rPr>
          <w:rFonts w:hint="eastAsia"/>
          <w:b/>
          <w:sz w:val="22"/>
          <w:szCs w:val="21"/>
        </w:rPr>
        <w:lastRenderedPageBreak/>
        <w:t>第六条</w:t>
      </w:r>
      <w:r>
        <w:rPr>
          <w:rFonts w:hint="eastAsia"/>
          <w:b/>
          <w:sz w:val="22"/>
          <w:szCs w:val="21"/>
        </w:rPr>
        <w:t xml:space="preserve"> </w:t>
      </w:r>
      <w:r>
        <w:rPr>
          <w:rFonts w:hint="eastAsia"/>
          <w:b/>
          <w:sz w:val="22"/>
          <w:szCs w:val="21"/>
        </w:rPr>
        <w:t>银行及理财服务人员联络方式</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全国统一客户服务热线：</w:t>
      </w:r>
      <w:r>
        <w:rPr>
          <w:rFonts w:hint="eastAsia"/>
          <w:color w:val="000000"/>
          <w:spacing w:val="10"/>
          <w:szCs w:val="21"/>
          <w:u w:color="000000"/>
        </w:rPr>
        <w:t>95302</w:t>
      </w:r>
      <w:r>
        <w:rPr>
          <w:rFonts w:hint="eastAsia"/>
          <w:color w:val="000000"/>
          <w:spacing w:val="10"/>
          <w:szCs w:val="21"/>
          <w:u w:color="000000"/>
        </w:rPr>
        <w:t>。</w:t>
      </w:r>
    </w:p>
    <w:p w:rsidR="0064350B" w:rsidRDefault="0064350B" w:rsidP="0064350B">
      <w:pPr>
        <w:ind w:firstLineChars="185" w:firstLine="425"/>
        <w:rPr>
          <w:color w:val="000000"/>
          <w:spacing w:val="10"/>
          <w:szCs w:val="21"/>
          <w:u w:color="000000"/>
        </w:rPr>
      </w:pPr>
      <w:r>
        <w:rPr>
          <w:rFonts w:hint="eastAsia"/>
          <w:color w:val="000000"/>
          <w:spacing w:val="10"/>
          <w:szCs w:val="21"/>
          <w:u w:color="000000"/>
        </w:rPr>
        <w:t>银行网站：</w:t>
      </w:r>
      <w:r>
        <w:rPr>
          <w:rFonts w:hint="eastAsia"/>
          <w:color w:val="000000"/>
          <w:spacing w:val="10"/>
          <w:szCs w:val="21"/>
          <w:u w:color="000000"/>
        </w:rPr>
        <w:t>www.njcb.com.cn</w:t>
      </w:r>
      <w:r>
        <w:rPr>
          <w:rFonts w:hint="eastAsia"/>
          <w:color w:val="000000"/>
          <w:spacing w:val="10"/>
          <w:szCs w:val="21"/>
          <w:u w:color="000000"/>
        </w:rPr>
        <w:t>。</w:t>
      </w:r>
    </w:p>
    <w:p w:rsidR="0064350B" w:rsidRDefault="0064350B" w:rsidP="0064350B">
      <w:pPr>
        <w:pStyle w:val="a7"/>
        <w:widowControl w:val="0"/>
        <w:tabs>
          <w:tab w:val="left" w:pos="1520"/>
          <w:tab w:val="left" w:pos="1871"/>
        </w:tabs>
        <w:snapToGrid w:val="0"/>
        <w:spacing w:before="0" w:after="0" w:line="240" w:lineRule="atLeast"/>
        <w:ind w:left="372" w:firstLine="372"/>
        <w:jc w:val="both"/>
        <w:rPr>
          <w:b/>
          <w:sz w:val="22"/>
          <w:szCs w:val="21"/>
        </w:rPr>
      </w:pPr>
    </w:p>
    <w:p w:rsidR="0064350B" w:rsidRDefault="0064350B" w:rsidP="0064350B">
      <w:pPr>
        <w:ind w:firstLineChars="200" w:firstLine="460"/>
        <w:rPr>
          <w:color w:val="000000"/>
          <w:spacing w:val="10"/>
          <w:szCs w:val="21"/>
          <w:u w:color="000000"/>
        </w:rPr>
      </w:pPr>
    </w:p>
    <w:p w:rsidR="0064350B" w:rsidRDefault="0064350B" w:rsidP="00267762">
      <w:pPr>
        <w:pStyle w:val="a7"/>
        <w:widowControl w:val="0"/>
        <w:snapToGrid w:val="0"/>
        <w:spacing w:beforeLines="50" w:afterLines="50" w:line="240" w:lineRule="auto"/>
        <w:ind w:firstLine="0"/>
        <w:jc w:val="center"/>
        <w:rPr>
          <w:b/>
          <w:sz w:val="21"/>
          <w:szCs w:val="21"/>
          <w:u w:val="single"/>
        </w:rPr>
      </w:pPr>
      <w:r>
        <w:rPr>
          <w:rFonts w:hint="eastAsia"/>
          <w:b/>
          <w:sz w:val="21"/>
          <w:szCs w:val="21"/>
          <w:u w:val="single"/>
        </w:rPr>
        <w:t>仔细阅读提示</w:t>
      </w:r>
    </w:p>
    <w:p w:rsidR="0064350B" w:rsidRDefault="0064350B" w:rsidP="0064350B">
      <w:pPr>
        <w:ind w:firstLineChars="200" w:firstLine="422"/>
        <w:rPr>
          <w:rFonts w:ascii="宋体" w:hAnsi="宋体"/>
          <w:b/>
          <w:color w:val="000000"/>
          <w:szCs w:val="21"/>
          <w:u w:val="single"/>
        </w:rPr>
      </w:pPr>
      <w:r>
        <w:rPr>
          <w:rFonts w:ascii="宋体" w:hAnsi="宋体" w:hint="eastAsia"/>
          <w:b/>
          <w:color w:val="000000"/>
          <w:szCs w:val="21"/>
          <w:u w:val="single"/>
        </w:rPr>
        <w:t>请您一定仔细阅读本理财产品销售文件，包括但不限于：《理财产品销售协议书》、《理财产品说明书》、《理财产品风险揭示书》、《投资者权益须知》等，了解理财产品具体情况，关注投资风险，自主决定是否投资。</w:t>
      </w:r>
    </w:p>
    <w:p w:rsidR="0064350B" w:rsidRDefault="0064350B" w:rsidP="0064350B">
      <w:pPr>
        <w:rPr>
          <w:rFonts w:ascii="宋体" w:hAnsi="宋体"/>
          <w:spacing w:val="10"/>
          <w:szCs w:val="21"/>
        </w:rPr>
      </w:pPr>
    </w:p>
    <w:p w:rsidR="0064350B" w:rsidRDefault="0064350B" w:rsidP="0064350B">
      <w:pPr>
        <w:pStyle w:val="1"/>
        <w:numPr>
          <w:ilvl w:val="0"/>
          <w:numId w:val="5"/>
        </w:numPr>
        <w:tabs>
          <w:tab w:val="clear" w:pos="1155"/>
          <w:tab w:val="left" w:pos="0"/>
        </w:tabs>
        <w:ind w:left="0" w:hanging="142"/>
        <w:jc w:val="center"/>
        <w:rPr>
          <w:rFonts w:ascii="黑体" w:eastAsia="黑体" w:hAnsi="宋体"/>
          <w:b w:val="0"/>
          <w:sz w:val="24"/>
          <w:szCs w:val="21"/>
          <w:lang w:eastAsia="zh-CN"/>
        </w:rPr>
      </w:pPr>
      <w:r>
        <w:rPr>
          <w:rFonts w:ascii="黑体" w:eastAsia="黑体" w:hAnsi="宋体"/>
          <w:b w:val="0"/>
          <w:sz w:val="24"/>
          <w:szCs w:val="21"/>
          <w:lang w:eastAsia="zh-CN"/>
        </w:rPr>
        <w:br w:type="page"/>
      </w:r>
      <w:r>
        <w:rPr>
          <w:rFonts w:ascii="黑体" w:eastAsia="黑体" w:hAnsi="宋体" w:hint="eastAsia"/>
          <w:b w:val="0"/>
          <w:sz w:val="24"/>
          <w:szCs w:val="21"/>
          <w:lang w:eastAsia="zh-CN"/>
        </w:rPr>
        <w:lastRenderedPageBreak/>
        <w:t>理财产品销售协议书</w:t>
      </w:r>
    </w:p>
    <w:p w:rsidR="0064350B" w:rsidRDefault="0064350B" w:rsidP="0064350B">
      <w:pPr>
        <w:jc w:val="center"/>
        <w:rPr>
          <w:rFonts w:ascii="黑体" w:eastAsia="黑体" w:hAnsi="宋体"/>
          <w:szCs w:val="21"/>
        </w:rPr>
      </w:pPr>
      <w:r>
        <w:rPr>
          <w:rFonts w:ascii="黑体" w:eastAsia="黑体" w:hAnsi="宋体" w:hint="eastAsia"/>
          <w:b/>
          <w:bCs/>
          <w:szCs w:val="21"/>
        </w:rPr>
        <w:t>（版本号</w:t>
      </w:r>
      <w:r>
        <w:rPr>
          <w:rFonts w:ascii="黑体" w:eastAsia="黑体" w:hAnsi="宋体"/>
          <w:b/>
          <w:bCs/>
          <w:szCs w:val="21"/>
        </w:rPr>
        <w:t>2019.04</w:t>
      </w:r>
      <w:r>
        <w:rPr>
          <w:rFonts w:ascii="黑体" w:eastAsia="黑体" w:hAnsi="宋体" w:hint="eastAsia"/>
          <w:b/>
          <w:bCs/>
          <w:szCs w:val="21"/>
        </w:rPr>
        <w:t>）</w:t>
      </w:r>
    </w:p>
    <w:p w:rsidR="0064350B" w:rsidRDefault="0064350B" w:rsidP="0064350B">
      <w:pPr>
        <w:adjustRightInd w:val="0"/>
        <w:snapToGrid w:val="0"/>
        <w:rPr>
          <w:b/>
          <w:bCs/>
          <w:szCs w:val="21"/>
        </w:rPr>
      </w:pPr>
      <w:r>
        <w:rPr>
          <w:rFonts w:hint="eastAsia"/>
          <w:b/>
          <w:bCs/>
          <w:szCs w:val="21"/>
        </w:rPr>
        <w:t>风险提示：</w:t>
      </w:r>
    </w:p>
    <w:p w:rsidR="0064350B" w:rsidRDefault="0064350B" w:rsidP="0064350B">
      <w:pPr>
        <w:tabs>
          <w:tab w:val="left" w:pos="7920"/>
          <w:tab w:val="left" w:pos="8100"/>
        </w:tabs>
        <w:ind w:firstLineChars="196" w:firstLine="413"/>
        <w:rPr>
          <w:b/>
          <w:bCs/>
          <w:szCs w:val="21"/>
        </w:rPr>
      </w:pPr>
      <w:r>
        <w:rPr>
          <w:rFonts w:hint="eastAsia"/>
          <w:b/>
          <w:bCs/>
          <w:szCs w:val="21"/>
        </w:rPr>
        <w:t>□本理财产品是非保本浮动收益型理财产品，不保证本金和收益，您的本金与收益可能会因市场变动而蒙受重大损失，您应仔细阅读本理财协议条款和对应期次的《理财产品说明书》和《理财产品风险揭示书》，充分认识投资风险，谨慎投资。</w:t>
      </w:r>
    </w:p>
    <w:p w:rsidR="0064350B" w:rsidRDefault="0064350B" w:rsidP="0064350B">
      <w:pPr>
        <w:tabs>
          <w:tab w:val="left" w:pos="7920"/>
          <w:tab w:val="left" w:pos="8100"/>
        </w:tabs>
        <w:ind w:firstLineChars="196" w:firstLine="413"/>
        <w:rPr>
          <w:b/>
          <w:bCs/>
          <w:szCs w:val="21"/>
        </w:rPr>
      </w:pPr>
      <w:r>
        <w:rPr>
          <w:rFonts w:hint="eastAsia"/>
          <w:b/>
          <w:bCs/>
          <w:szCs w:val="21"/>
        </w:rPr>
        <w:t>□本理财产品是保证收益型理财产品。本理财产品有投资风险，只能保证获得合同明确承诺的收益，您应仔细阅读本理财协议条款和对应期次的《理财产品说明书》和《理财产品风险揭示书》，充分认识投资风险，谨慎投资。</w:t>
      </w:r>
    </w:p>
    <w:p w:rsidR="0064350B" w:rsidRDefault="0064350B" w:rsidP="0064350B">
      <w:pPr>
        <w:rPr>
          <w:rFonts w:ascii="方正细黑一简体" w:eastAsia="方正细黑一简体" w:hAnsi="宋体"/>
          <w:szCs w:val="21"/>
        </w:rPr>
      </w:pPr>
      <w:r>
        <w:rPr>
          <w:rFonts w:ascii="方正细黑一简体" w:eastAsia="方正细黑一简体" w:hAnsi="宋体" w:hint="eastAsia"/>
          <w:szCs w:val="21"/>
        </w:rPr>
        <w:t>甲方：南京银行股份有限公司</w:t>
      </w:r>
      <w:r>
        <w:rPr>
          <w:rFonts w:ascii="方正细黑一简体" w:eastAsia="方正细黑一简体" w:hAnsi="宋体"/>
          <w:szCs w:val="21"/>
          <w:u w:val="single"/>
        </w:rPr>
        <w:t xml:space="preserve">           </w:t>
      </w:r>
    </w:p>
    <w:p w:rsidR="0064350B" w:rsidRDefault="0064350B" w:rsidP="0064350B">
      <w:pPr>
        <w:rPr>
          <w:rFonts w:ascii="方正细黑一简体" w:eastAsia="方正细黑一简体" w:hAnsi="宋体"/>
          <w:szCs w:val="21"/>
        </w:rPr>
      </w:pPr>
      <w:r>
        <w:rPr>
          <w:rFonts w:ascii="方正细黑一简体" w:eastAsia="方正细黑一简体" w:hAnsi="宋体" w:hint="eastAsia"/>
          <w:szCs w:val="21"/>
        </w:rPr>
        <w:t>网点地址：</w:t>
      </w:r>
      <w:r>
        <w:rPr>
          <w:rFonts w:ascii="方正细黑一简体" w:eastAsia="方正细黑一简体" w:hAnsi="宋体"/>
          <w:szCs w:val="21"/>
          <w:u w:val="single"/>
        </w:rPr>
        <w:t xml:space="preserve">       </w:t>
      </w:r>
      <w:r>
        <w:rPr>
          <w:rFonts w:ascii="方正细黑一简体" w:eastAsia="方正细黑一简体" w:hAnsi="宋体" w:hint="eastAsia"/>
          <w:szCs w:val="21"/>
          <w:u w:val="single"/>
        </w:rPr>
        <w:t xml:space="preserve">   </w:t>
      </w:r>
      <w:r>
        <w:rPr>
          <w:rFonts w:ascii="方正细黑一简体" w:eastAsia="方正细黑一简体" w:hAnsi="宋体"/>
          <w:szCs w:val="21"/>
          <w:u w:val="single"/>
        </w:rPr>
        <w:t xml:space="preserve">   </w:t>
      </w:r>
      <w:r>
        <w:rPr>
          <w:rFonts w:ascii="方正细黑一简体" w:eastAsia="方正细黑一简体" w:hAnsi="宋体"/>
          <w:szCs w:val="21"/>
        </w:rPr>
        <w:t xml:space="preserve"> </w:t>
      </w:r>
      <w:r>
        <w:rPr>
          <w:rFonts w:ascii="方正细黑一简体" w:eastAsia="方正细黑一简体" w:hAnsi="宋体" w:hint="eastAsia"/>
          <w:szCs w:val="21"/>
        </w:rPr>
        <w:t>网点电话：</w:t>
      </w:r>
      <w:r>
        <w:rPr>
          <w:rFonts w:ascii="方正细黑一简体" w:eastAsia="方正细黑一简体" w:hAnsi="宋体"/>
          <w:szCs w:val="21"/>
          <w:u w:val="single"/>
        </w:rPr>
        <w:t xml:space="preserve">      </w:t>
      </w:r>
      <w:r>
        <w:rPr>
          <w:rFonts w:ascii="方正细黑一简体" w:eastAsia="方正细黑一简体" w:hAnsi="宋体" w:hint="eastAsia"/>
          <w:szCs w:val="21"/>
          <w:u w:val="single"/>
        </w:rPr>
        <w:t xml:space="preserve">  </w:t>
      </w:r>
      <w:r>
        <w:rPr>
          <w:rFonts w:ascii="方正细黑一简体" w:eastAsia="方正细黑一简体" w:hAnsi="宋体"/>
          <w:szCs w:val="21"/>
          <w:u w:val="single"/>
        </w:rPr>
        <w:t xml:space="preserve">         </w:t>
      </w:r>
      <w:r>
        <w:rPr>
          <w:rFonts w:ascii="方正细黑一简体" w:eastAsia="方正细黑一简体" w:hAnsi="宋体" w:hint="eastAsia"/>
          <w:szCs w:val="21"/>
        </w:rPr>
        <w:t>传真：</w:t>
      </w:r>
      <w:r>
        <w:rPr>
          <w:rFonts w:ascii="方正细黑一简体" w:eastAsia="方正细黑一简体" w:hAnsi="宋体"/>
          <w:szCs w:val="21"/>
          <w:u w:val="single"/>
        </w:rPr>
        <w:t xml:space="preserve">   </w:t>
      </w:r>
      <w:r>
        <w:rPr>
          <w:rFonts w:ascii="方正细黑一简体" w:eastAsia="方正细黑一简体" w:hAnsi="宋体" w:hint="eastAsia"/>
          <w:szCs w:val="21"/>
          <w:u w:val="single"/>
        </w:rPr>
        <w:t xml:space="preserve">              </w:t>
      </w:r>
      <w:r>
        <w:rPr>
          <w:rFonts w:ascii="方正细黑一简体" w:eastAsia="方正细黑一简体" w:hAnsi="宋体"/>
          <w:szCs w:val="21"/>
          <w:u w:val="single"/>
        </w:rPr>
        <w:t xml:space="preserve">   </w:t>
      </w:r>
      <w:r>
        <w:rPr>
          <w:rFonts w:ascii="方正细黑一简体" w:eastAsia="方正细黑一简体" w:hAnsi="宋体"/>
          <w:szCs w:val="21"/>
        </w:rPr>
        <w:t xml:space="preserve"> </w:t>
      </w:r>
    </w:p>
    <w:p w:rsidR="0064350B" w:rsidRDefault="0064350B" w:rsidP="0064350B">
      <w:pPr>
        <w:rPr>
          <w:rFonts w:ascii="方正细黑一简体" w:eastAsia="方正细黑一简体" w:hAnsi="宋体"/>
          <w:szCs w:val="21"/>
        </w:rPr>
      </w:pPr>
      <w:r>
        <w:rPr>
          <w:rFonts w:ascii="方正细黑一简体" w:eastAsia="方正细黑一简体" w:hAnsi="宋体" w:hint="eastAsia"/>
          <w:szCs w:val="21"/>
        </w:rPr>
        <w:t>理财服务人员</w:t>
      </w:r>
      <w:r>
        <w:rPr>
          <w:rFonts w:ascii="方正细黑一简体" w:eastAsia="方正细黑一简体" w:hAnsi="宋体"/>
          <w:szCs w:val="21"/>
        </w:rPr>
        <w:t>：</w:t>
      </w:r>
      <w:r>
        <w:rPr>
          <w:rFonts w:ascii="方正细黑一简体" w:eastAsia="方正细黑一简体" w:hAnsi="宋体"/>
          <w:szCs w:val="21"/>
          <w:u w:val="single"/>
        </w:rPr>
        <w:t xml:space="preserve">          </w:t>
      </w:r>
      <w:r>
        <w:rPr>
          <w:rFonts w:ascii="方正细黑一简体" w:eastAsia="方正细黑一简体" w:hAnsi="宋体" w:hint="eastAsia"/>
          <w:szCs w:val="21"/>
          <w:u w:val="single"/>
        </w:rPr>
        <w:t xml:space="preserve">                   </w:t>
      </w:r>
      <w:r>
        <w:rPr>
          <w:rFonts w:ascii="方正细黑一简体" w:eastAsia="方正细黑一简体" w:hAnsi="宋体"/>
          <w:szCs w:val="21"/>
          <w:u w:val="single"/>
        </w:rPr>
        <w:t xml:space="preserve">     </w:t>
      </w:r>
      <w:r>
        <w:rPr>
          <w:rFonts w:ascii="方正细黑一简体" w:eastAsia="方正细黑一简体" w:hAnsi="宋体" w:hint="eastAsia"/>
          <w:szCs w:val="21"/>
        </w:rPr>
        <w:t xml:space="preserve"> 联系电话：</w:t>
      </w:r>
      <w:r>
        <w:rPr>
          <w:rFonts w:ascii="方正细黑一简体" w:eastAsia="方正细黑一简体" w:hAnsi="宋体"/>
          <w:szCs w:val="21"/>
          <w:u w:val="single"/>
        </w:rPr>
        <w:t xml:space="preserve">      </w:t>
      </w:r>
      <w:r>
        <w:rPr>
          <w:rFonts w:ascii="方正细黑一简体" w:eastAsia="方正细黑一简体" w:hAnsi="宋体" w:hint="eastAsia"/>
          <w:szCs w:val="21"/>
          <w:u w:val="single"/>
        </w:rPr>
        <w:t xml:space="preserve">  </w:t>
      </w:r>
      <w:r>
        <w:rPr>
          <w:rFonts w:ascii="方正细黑一简体" w:eastAsia="方正细黑一简体" w:hAnsi="宋体"/>
          <w:szCs w:val="21"/>
          <w:u w:val="single"/>
        </w:rPr>
        <w:t xml:space="preserve">         </w:t>
      </w:r>
    </w:p>
    <w:p w:rsidR="0064350B" w:rsidRDefault="0064350B" w:rsidP="0064350B">
      <w:pPr>
        <w:rPr>
          <w:rFonts w:ascii="方正细黑一简体" w:eastAsia="方正细黑一简体" w:hAnsi="宋体"/>
          <w:szCs w:val="21"/>
        </w:rPr>
      </w:pPr>
      <w:r>
        <w:rPr>
          <w:rFonts w:ascii="方正细黑一简体" w:eastAsia="方正细黑一简体" w:hAnsi="宋体" w:hint="eastAsia"/>
          <w:szCs w:val="21"/>
        </w:rPr>
        <w:t>乙方：（客户名称）</w:t>
      </w:r>
      <w:r>
        <w:rPr>
          <w:rFonts w:ascii="方正细黑一简体" w:eastAsia="方正细黑一简体" w:hAnsi="宋体"/>
          <w:szCs w:val="21"/>
          <w:u w:val="single"/>
        </w:rPr>
        <w:t xml:space="preserve">                  </w:t>
      </w:r>
      <w:r>
        <w:rPr>
          <w:rFonts w:ascii="方正细黑一简体" w:eastAsia="方正细黑一简体" w:hAnsi="宋体"/>
          <w:szCs w:val="21"/>
        </w:rPr>
        <w:t xml:space="preserve">              </w:t>
      </w:r>
    </w:p>
    <w:p w:rsidR="0064350B" w:rsidRDefault="0064350B" w:rsidP="0064350B">
      <w:pPr>
        <w:rPr>
          <w:rFonts w:ascii="方正细黑一简体" w:eastAsia="方正细黑一简体" w:hAnsi="宋体"/>
          <w:szCs w:val="21"/>
        </w:rPr>
      </w:pPr>
      <w:r>
        <w:rPr>
          <w:rFonts w:ascii="方正细黑一简体" w:eastAsia="方正细黑一简体" w:hAnsi="宋体" w:hint="eastAsia"/>
          <w:szCs w:val="21"/>
        </w:rPr>
        <w:t>地址：</w:t>
      </w:r>
      <w:r>
        <w:rPr>
          <w:rFonts w:ascii="方正细黑一简体" w:eastAsia="方正细黑一简体" w:hAnsi="宋体"/>
          <w:szCs w:val="21"/>
          <w:u w:val="single"/>
        </w:rPr>
        <w:t xml:space="preserve">                  </w:t>
      </w:r>
      <w:r>
        <w:rPr>
          <w:rFonts w:ascii="方正细黑一简体" w:eastAsia="方正细黑一简体" w:hAnsi="宋体"/>
          <w:szCs w:val="21"/>
        </w:rPr>
        <w:t xml:space="preserve">                   </w:t>
      </w:r>
    </w:p>
    <w:p w:rsidR="0064350B" w:rsidRDefault="0064350B" w:rsidP="0064350B">
      <w:pPr>
        <w:rPr>
          <w:rFonts w:ascii="方正细黑一简体" w:eastAsia="方正细黑一简体" w:hAnsi="宋体"/>
          <w:szCs w:val="21"/>
          <w:u w:val="single"/>
        </w:rPr>
      </w:pPr>
      <w:r>
        <w:rPr>
          <w:rFonts w:ascii="方正细黑一简体" w:eastAsia="方正细黑一简体" w:hAnsi="宋体"/>
          <w:szCs w:val="21"/>
        </w:rPr>
        <w:t>电话：</w:t>
      </w:r>
      <w:r>
        <w:rPr>
          <w:rFonts w:ascii="方正细黑一简体" w:eastAsia="方正细黑一简体" w:hAnsi="宋体"/>
          <w:szCs w:val="21"/>
          <w:u w:val="single"/>
        </w:rPr>
        <w:t xml:space="preserve">                     </w:t>
      </w:r>
      <w:r>
        <w:rPr>
          <w:rFonts w:ascii="方正细黑一简体" w:eastAsia="方正细黑一简体" w:hAnsi="宋体" w:hint="eastAsia"/>
          <w:szCs w:val="21"/>
        </w:rPr>
        <w:t xml:space="preserve">  传真：</w:t>
      </w:r>
      <w:r>
        <w:rPr>
          <w:rFonts w:ascii="方正细黑一简体" w:eastAsia="方正细黑一简体" w:hAnsi="宋体" w:hint="eastAsia"/>
          <w:szCs w:val="21"/>
          <w:u w:val="single"/>
        </w:rPr>
        <w:t xml:space="preserve">                        </w:t>
      </w:r>
      <w:r>
        <w:rPr>
          <w:rFonts w:ascii="方正细黑一简体" w:eastAsia="方正细黑一简体" w:hAnsi="宋体" w:hint="eastAsia"/>
          <w:szCs w:val="21"/>
        </w:rPr>
        <w:t xml:space="preserve">  联系人：</w:t>
      </w:r>
      <w:r>
        <w:rPr>
          <w:rFonts w:ascii="方正细黑一简体" w:eastAsia="方正细黑一简体" w:hAnsi="宋体" w:hint="eastAsia"/>
          <w:szCs w:val="21"/>
          <w:u w:val="single"/>
        </w:rPr>
        <w:t xml:space="preserve">                   </w:t>
      </w:r>
    </w:p>
    <w:p w:rsidR="0064350B" w:rsidRDefault="0064350B" w:rsidP="0064350B">
      <w:pPr>
        <w:ind w:firstLineChars="200" w:firstLine="420"/>
        <w:rPr>
          <w:rFonts w:ascii="方正细黑一简体" w:eastAsia="方正细黑一简体" w:hAnsi="宋体"/>
          <w:szCs w:val="21"/>
        </w:rPr>
      </w:pPr>
      <w:r>
        <w:rPr>
          <w:rFonts w:ascii="方正细黑一简体" w:eastAsia="方正细黑一简体" w:hAnsi="宋体" w:hint="eastAsia"/>
          <w:szCs w:val="21"/>
        </w:rPr>
        <w:t>经双方平等友好协商，本着平等自愿、诚实守信的原则，就乙方在甲方购买“</w:t>
      </w:r>
      <w:r>
        <w:rPr>
          <w:rFonts w:ascii="方正细黑一简体" w:eastAsia="方正细黑一简体" w:hAnsi="宋体" w:hint="eastAsia"/>
          <w:szCs w:val="21"/>
          <w:u w:val="single"/>
        </w:rPr>
        <w:t xml:space="preserve">      </w:t>
      </w:r>
      <w:r>
        <w:rPr>
          <w:rFonts w:ascii="方正细黑一简体" w:eastAsia="方正细黑一简体" w:hAnsi="宋体" w:hint="eastAsia"/>
          <w:szCs w:val="21"/>
        </w:rPr>
        <w:t>”系列人民币理财产品的有关事宜达成协议如下：</w:t>
      </w:r>
    </w:p>
    <w:p w:rsidR="0064350B" w:rsidRDefault="0064350B" w:rsidP="0064350B">
      <w:pPr>
        <w:ind w:firstLineChars="185" w:firstLine="425"/>
        <w:rPr>
          <w:rFonts w:ascii="宋体" w:hAnsi="宋体"/>
          <w:spacing w:val="10"/>
          <w:szCs w:val="21"/>
        </w:rPr>
      </w:pPr>
      <w:r>
        <w:rPr>
          <w:rFonts w:ascii="宋体" w:hAnsi="宋体" w:hint="eastAsia"/>
          <w:spacing w:val="10"/>
          <w:szCs w:val="21"/>
        </w:rPr>
        <w:t>1．理财货币</w:t>
      </w:r>
      <w:r>
        <w:rPr>
          <w:rFonts w:ascii="宋体" w:hAnsi="宋体" w:hint="eastAsia"/>
          <w:spacing w:val="10"/>
          <w:szCs w:val="21"/>
          <w:u w:val="single"/>
        </w:rPr>
        <w:t>：人民币</w:t>
      </w:r>
      <w:r>
        <w:rPr>
          <w:rFonts w:ascii="宋体" w:hAnsi="宋体" w:hint="eastAsia"/>
          <w:spacing w:val="10"/>
          <w:szCs w:val="21"/>
        </w:rPr>
        <w:t>；认/申购产品名称</w:t>
      </w:r>
      <w:r>
        <w:rPr>
          <w:rFonts w:ascii="宋体" w:hAnsi="宋体" w:hint="eastAsia"/>
          <w:spacing w:val="10"/>
          <w:szCs w:val="21"/>
          <w:u w:val="single"/>
        </w:rPr>
        <w:t>：</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u w:val="single"/>
        </w:rPr>
        <w:t xml:space="preserve">     </w:t>
      </w:r>
      <w:r>
        <w:rPr>
          <w:rFonts w:ascii="宋体" w:hAnsi="宋体" w:hint="eastAsia"/>
          <w:spacing w:val="10"/>
          <w:szCs w:val="21"/>
        </w:rPr>
        <w:t>；认/申购产品期次</w:t>
      </w:r>
      <w:r>
        <w:rPr>
          <w:rFonts w:ascii="宋体" w:hAnsi="宋体" w:hint="eastAsia"/>
          <w:spacing w:val="10"/>
          <w:szCs w:val="21"/>
          <w:u w:val="single"/>
        </w:rPr>
        <w:t>：</w:t>
      </w:r>
      <w:r>
        <w:rPr>
          <w:rFonts w:ascii="宋体" w:hAnsi="宋体"/>
          <w:spacing w:val="10"/>
          <w:szCs w:val="21"/>
          <w:u w:val="single"/>
        </w:rPr>
        <w:t xml:space="preserve">          </w:t>
      </w:r>
      <w:r>
        <w:rPr>
          <w:rFonts w:ascii="宋体" w:hAnsi="宋体" w:hint="eastAsia"/>
          <w:spacing w:val="10"/>
          <w:szCs w:val="21"/>
        </w:rPr>
        <w:t>；认/申购产品代码</w:t>
      </w:r>
      <w:r>
        <w:rPr>
          <w:rFonts w:ascii="宋体" w:hAnsi="宋体"/>
          <w:spacing w:val="10"/>
          <w:szCs w:val="21"/>
          <w:u w:val="single"/>
        </w:rPr>
        <w:t xml:space="preserve">:               </w:t>
      </w:r>
      <w:r>
        <w:rPr>
          <w:rFonts w:ascii="宋体" w:hAnsi="宋体"/>
          <w:spacing w:val="10"/>
          <w:szCs w:val="21"/>
        </w:rPr>
        <w:t>；</w:t>
      </w:r>
      <w:r>
        <w:rPr>
          <w:rFonts w:ascii="宋体" w:hAnsi="宋体" w:hint="eastAsia"/>
          <w:spacing w:val="10"/>
          <w:szCs w:val="21"/>
        </w:rPr>
        <w:t>□业绩比较基准□预期年化收益率</w:t>
      </w:r>
      <w:r>
        <w:rPr>
          <w:rFonts w:ascii="宋体" w:hAnsi="宋体" w:hint="eastAsia"/>
          <w:spacing w:val="10"/>
          <w:szCs w:val="21"/>
          <w:u w:val="single"/>
        </w:rPr>
        <w:t>：</w:t>
      </w:r>
      <w:r>
        <w:rPr>
          <w:rFonts w:ascii="宋体" w:hAnsi="宋体"/>
          <w:spacing w:val="10"/>
          <w:szCs w:val="21"/>
          <w:u w:val="single"/>
        </w:rPr>
        <w:t xml:space="preserve">    %</w:t>
      </w:r>
      <w:r>
        <w:rPr>
          <w:rFonts w:ascii="方正细黑一简体" w:eastAsia="方正细黑一简体" w:hAnsi="宋体" w:hint="eastAsia"/>
          <w:szCs w:val="21"/>
        </w:rPr>
        <w:t>（开放式理财产品以对应期次的《理财产品说明书》约定为准）</w:t>
      </w:r>
      <w:r>
        <w:rPr>
          <w:rFonts w:ascii="宋体" w:hAnsi="宋体"/>
          <w:spacing w:val="10"/>
          <w:szCs w:val="21"/>
        </w:rPr>
        <w:t>；</w:t>
      </w:r>
      <w:r>
        <w:rPr>
          <w:rFonts w:ascii="方正细黑一简体" w:eastAsia="方正细黑一简体" w:hAnsi="宋体" w:hint="eastAsia"/>
          <w:szCs w:val="21"/>
        </w:rPr>
        <w:t>收益起始日：</w:t>
      </w:r>
      <w:r>
        <w:rPr>
          <w:rFonts w:ascii="方正细黑一简体" w:eastAsia="方正细黑一简体" w:hAnsi="宋体"/>
          <w:szCs w:val="21"/>
          <w:u w:val="single"/>
        </w:rPr>
        <w:t xml:space="preserve">     </w:t>
      </w:r>
      <w:r>
        <w:rPr>
          <w:rFonts w:ascii="方正细黑一简体" w:eastAsia="方正细黑一简体" w:hAnsi="宋体" w:hint="eastAsia"/>
          <w:szCs w:val="21"/>
        </w:rPr>
        <w:t>年</w:t>
      </w:r>
      <w:r>
        <w:rPr>
          <w:rFonts w:ascii="方正细黑一简体" w:eastAsia="方正细黑一简体" w:hAnsi="宋体"/>
          <w:szCs w:val="21"/>
          <w:u w:val="single"/>
        </w:rPr>
        <w:t xml:space="preserve">   </w:t>
      </w:r>
      <w:r>
        <w:rPr>
          <w:rFonts w:ascii="方正细黑一简体" w:eastAsia="方正细黑一简体" w:hAnsi="宋体" w:hint="eastAsia"/>
          <w:szCs w:val="21"/>
        </w:rPr>
        <w:t>月</w:t>
      </w:r>
      <w:r>
        <w:rPr>
          <w:rFonts w:ascii="方正细黑一简体" w:eastAsia="方正细黑一简体" w:hAnsi="宋体"/>
          <w:szCs w:val="21"/>
          <w:u w:val="single"/>
        </w:rPr>
        <w:t xml:space="preserve">   </w:t>
      </w:r>
      <w:r>
        <w:rPr>
          <w:rFonts w:ascii="方正细黑一简体" w:eastAsia="方正细黑一简体" w:hAnsi="宋体" w:hint="eastAsia"/>
          <w:szCs w:val="21"/>
        </w:rPr>
        <w:t>日（开放式理财产品以对应期次的《理财产品说明书》约定为准）；实际到期日：</w:t>
      </w:r>
      <w:r>
        <w:rPr>
          <w:rFonts w:ascii="方正细黑一简体" w:eastAsia="方正细黑一简体" w:hAnsi="宋体"/>
          <w:szCs w:val="21"/>
          <w:u w:val="single"/>
        </w:rPr>
        <w:t xml:space="preserve">     </w:t>
      </w:r>
      <w:r>
        <w:rPr>
          <w:rFonts w:ascii="方正细黑一简体" w:eastAsia="方正细黑一简体" w:hAnsi="宋体" w:hint="eastAsia"/>
          <w:szCs w:val="21"/>
        </w:rPr>
        <w:t>年</w:t>
      </w:r>
      <w:r>
        <w:rPr>
          <w:rFonts w:ascii="方正细黑一简体" w:eastAsia="方正细黑一简体" w:hAnsi="宋体"/>
          <w:szCs w:val="21"/>
          <w:u w:val="single"/>
        </w:rPr>
        <w:t xml:space="preserve">   </w:t>
      </w:r>
      <w:r>
        <w:rPr>
          <w:rFonts w:ascii="方正细黑一简体" w:eastAsia="方正细黑一简体" w:hAnsi="宋体" w:hint="eastAsia"/>
          <w:szCs w:val="21"/>
        </w:rPr>
        <w:t>月</w:t>
      </w:r>
      <w:r>
        <w:rPr>
          <w:rFonts w:ascii="方正细黑一简体" w:eastAsia="方正细黑一简体" w:hAnsi="宋体"/>
          <w:szCs w:val="21"/>
          <w:u w:val="single"/>
        </w:rPr>
        <w:t xml:space="preserve">   </w:t>
      </w:r>
      <w:r>
        <w:rPr>
          <w:rFonts w:ascii="方正细黑一简体" w:eastAsia="方正细黑一简体" w:hAnsi="宋体" w:hint="eastAsia"/>
          <w:szCs w:val="21"/>
        </w:rPr>
        <w:t>日（开放式理财产品以对应期次的《理财产品说明书》约定为准）。</w:t>
      </w:r>
    </w:p>
    <w:p w:rsidR="0064350B" w:rsidRDefault="0064350B" w:rsidP="0064350B">
      <w:pPr>
        <w:ind w:firstLineChars="185" w:firstLine="425"/>
        <w:rPr>
          <w:rFonts w:ascii="宋体" w:hAnsi="宋体"/>
          <w:spacing w:val="10"/>
          <w:szCs w:val="21"/>
        </w:rPr>
      </w:pPr>
      <w:r>
        <w:rPr>
          <w:rFonts w:ascii="宋体" w:hAnsi="宋体" w:hint="eastAsia"/>
          <w:spacing w:val="10"/>
          <w:szCs w:val="21"/>
        </w:rPr>
        <w:t>2．投资金额</w:t>
      </w:r>
      <w:r>
        <w:rPr>
          <w:rFonts w:ascii="宋体" w:hAnsi="宋体" w:hint="eastAsia"/>
          <w:spacing w:val="10"/>
          <w:szCs w:val="21"/>
          <w:u w:val="single"/>
        </w:rPr>
        <w:t>：（大写）</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u w:val="single"/>
        </w:rPr>
        <w:t xml:space="preserve">     </w:t>
      </w:r>
      <w:r>
        <w:rPr>
          <w:rFonts w:ascii="宋体" w:hAnsi="宋体" w:hint="eastAsia"/>
          <w:spacing w:val="10"/>
          <w:szCs w:val="21"/>
        </w:rPr>
        <w:t>元，（小写）</w:t>
      </w:r>
      <w:r>
        <w:rPr>
          <w:rFonts w:ascii="宋体" w:hAnsi="宋体" w:hint="eastAsia"/>
          <w:spacing w:val="10"/>
          <w:szCs w:val="21"/>
          <w:u w:val="single"/>
        </w:rPr>
        <w:t xml:space="preserve">                     元</w:t>
      </w:r>
      <w:r>
        <w:rPr>
          <w:rFonts w:ascii="宋体" w:hAnsi="宋体" w:hint="eastAsia"/>
          <w:spacing w:val="10"/>
          <w:szCs w:val="21"/>
        </w:rPr>
        <w:t>。乙方授权指定账户名称：</w:t>
      </w:r>
      <w:r>
        <w:rPr>
          <w:rFonts w:ascii="宋体" w:hAnsi="宋体" w:hint="eastAsia"/>
          <w:spacing w:val="10"/>
          <w:szCs w:val="21"/>
          <w:u w:val="single"/>
        </w:rPr>
        <w:t xml:space="preserve">　　　　　　　　　　</w:t>
      </w:r>
      <w:r>
        <w:rPr>
          <w:rFonts w:ascii="宋体" w:hAnsi="宋体" w:hint="eastAsia"/>
          <w:spacing w:val="10"/>
          <w:szCs w:val="21"/>
        </w:rPr>
        <w:t>,账号</w:t>
      </w:r>
      <w:r>
        <w:rPr>
          <w:rFonts w:ascii="宋体" w:hAnsi="宋体" w:hint="eastAsia"/>
          <w:spacing w:val="10"/>
          <w:szCs w:val="21"/>
          <w:u w:val="single"/>
        </w:rPr>
        <w:t xml:space="preserve">　　　　　　　　　　</w:t>
      </w:r>
      <w:r>
        <w:rPr>
          <w:rFonts w:ascii="宋体" w:hAnsi="宋体" w:hint="eastAsia"/>
          <w:spacing w:val="10"/>
          <w:szCs w:val="21"/>
        </w:rPr>
        <w:t>。</w:t>
      </w:r>
    </w:p>
    <w:p w:rsidR="0064350B" w:rsidRDefault="0064350B" w:rsidP="0064350B">
      <w:pPr>
        <w:ind w:firstLineChars="185" w:firstLine="425"/>
        <w:rPr>
          <w:rFonts w:ascii="宋体" w:hAnsi="宋体"/>
          <w:spacing w:val="10"/>
          <w:szCs w:val="21"/>
          <w:u w:val="single"/>
        </w:rPr>
      </w:pPr>
      <w:r>
        <w:rPr>
          <w:rFonts w:ascii="宋体" w:hAnsi="宋体" w:hint="eastAsia"/>
          <w:spacing w:val="10"/>
          <w:szCs w:val="21"/>
        </w:rPr>
        <w:t>乙方授权指定账户开户行</w:t>
      </w:r>
      <w:r>
        <w:rPr>
          <w:rFonts w:ascii="宋体" w:hAnsi="宋体" w:hint="eastAsia"/>
          <w:spacing w:val="10"/>
          <w:szCs w:val="21"/>
          <w:u w:val="single"/>
        </w:rPr>
        <w:t xml:space="preserve">　　　　　　（大额支付号：             ）</w:t>
      </w:r>
      <w:r>
        <w:rPr>
          <w:rFonts w:ascii="宋体" w:hAnsi="宋体" w:hint="eastAsia"/>
          <w:spacing w:val="10"/>
          <w:szCs w:val="21"/>
        </w:rPr>
        <w:t>（金融机构客户填写）。</w:t>
      </w:r>
    </w:p>
    <w:p w:rsidR="0064350B" w:rsidRDefault="0064350B" w:rsidP="0064350B">
      <w:pPr>
        <w:ind w:firstLineChars="185" w:firstLine="425"/>
        <w:rPr>
          <w:rFonts w:ascii="宋体" w:hAnsi="宋体"/>
          <w:spacing w:val="10"/>
          <w:szCs w:val="21"/>
        </w:rPr>
      </w:pPr>
      <w:r>
        <w:rPr>
          <w:rFonts w:ascii="宋体" w:hAnsi="宋体" w:hint="eastAsia"/>
          <w:spacing w:val="10"/>
          <w:szCs w:val="21"/>
        </w:rPr>
        <w:t>3．</w:t>
      </w:r>
      <w:r>
        <w:rPr>
          <w:rFonts w:ascii="宋体" w:hAnsi="宋体"/>
          <w:spacing w:val="10"/>
          <w:szCs w:val="21"/>
        </w:rPr>
        <w:t>甲方的权利与义务</w:t>
      </w:r>
    </w:p>
    <w:p w:rsidR="0064350B" w:rsidRDefault="0064350B" w:rsidP="0064350B">
      <w:pPr>
        <w:ind w:firstLineChars="185" w:firstLine="425"/>
        <w:rPr>
          <w:rFonts w:ascii="宋体" w:hAnsi="宋体"/>
          <w:spacing w:val="10"/>
          <w:szCs w:val="21"/>
        </w:rPr>
      </w:pPr>
      <w:r>
        <w:rPr>
          <w:rFonts w:ascii="宋体" w:hAnsi="宋体" w:hint="eastAsia"/>
          <w:spacing w:val="10"/>
          <w:szCs w:val="21"/>
        </w:rPr>
        <w:t>·甲方应当恪尽职守、履行勤勉尽责、诚实守信、有效管理的义务。</w:t>
      </w:r>
      <w:r>
        <w:rPr>
          <w:rFonts w:ascii="宋体" w:hAnsi="宋体"/>
          <w:spacing w:val="10"/>
          <w:szCs w:val="21"/>
        </w:rPr>
        <w:t xml:space="preserve"> </w:t>
      </w:r>
    </w:p>
    <w:p w:rsidR="0064350B" w:rsidRDefault="0064350B" w:rsidP="0064350B">
      <w:pPr>
        <w:ind w:firstLineChars="185" w:firstLine="425"/>
        <w:rPr>
          <w:rFonts w:ascii="宋体" w:hAnsi="宋体"/>
          <w:spacing w:val="10"/>
          <w:szCs w:val="21"/>
        </w:rPr>
      </w:pPr>
      <w:r>
        <w:rPr>
          <w:rFonts w:ascii="宋体" w:hAnsi="宋体" w:hint="eastAsia"/>
          <w:spacing w:val="10"/>
          <w:szCs w:val="21"/>
        </w:rPr>
        <w:t>·在本协议约定的投资范围和权限内，甲方拥有管理和运用理财资金的权利，拥有按照对应期次理财产品说明书中约定的收取费用的权利。</w:t>
      </w:r>
    </w:p>
    <w:p w:rsidR="0064350B" w:rsidRDefault="0064350B" w:rsidP="0064350B">
      <w:pPr>
        <w:ind w:firstLineChars="185" w:firstLine="425"/>
        <w:rPr>
          <w:rFonts w:ascii="宋体" w:hAnsi="宋体"/>
          <w:spacing w:val="10"/>
          <w:szCs w:val="21"/>
        </w:rPr>
      </w:pPr>
      <w:r>
        <w:rPr>
          <w:rFonts w:ascii="宋体" w:hAnsi="宋体" w:hint="eastAsia"/>
          <w:spacing w:val="10"/>
          <w:szCs w:val="21"/>
        </w:rPr>
        <w:t>4．</w:t>
      </w:r>
      <w:r>
        <w:rPr>
          <w:rFonts w:ascii="宋体" w:hAnsi="宋体"/>
          <w:spacing w:val="10"/>
          <w:szCs w:val="21"/>
        </w:rPr>
        <w:t>乙方的权利与义务</w:t>
      </w:r>
    </w:p>
    <w:p w:rsidR="0064350B" w:rsidRDefault="0064350B" w:rsidP="0064350B">
      <w:pPr>
        <w:ind w:firstLineChars="185" w:firstLine="425"/>
        <w:rPr>
          <w:rFonts w:ascii="宋体" w:hAnsi="宋体"/>
          <w:spacing w:val="10"/>
          <w:szCs w:val="21"/>
        </w:rPr>
      </w:pPr>
      <w:r>
        <w:rPr>
          <w:rFonts w:ascii="宋体" w:hAnsi="宋体" w:hint="eastAsia"/>
          <w:spacing w:val="10"/>
          <w:szCs w:val="21"/>
        </w:rPr>
        <w:t>·乙方必须保证其理财资金为合法拥有的资金，不得使用贷款、发行债券等筹集的非自有资金购买理财产品。乙方按其购买的投资金额在本理财协议中享受相应的权利，承担相应的义务和风险。</w:t>
      </w:r>
    </w:p>
    <w:p w:rsidR="0064350B" w:rsidRDefault="0064350B" w:rsidP="0064350B">
      <w:pPr>
        <w:ind w:firstLineChars="185" w:firstLine="425"/>
        <w:rPr>
          <w:rFonts w:ascii="宋体" w:hAnsi="宋体"/>
          <w:spacing w:val="10"/>
          <w:szCs w:val="21"/>
        </w:rPr>
      </w:pPr>
      <w:r>
        <w:rPr>
          <w:rFonts w:ascii="宋体" w:hAnsi="宋体" w:hint="eastAsia"/>
          <w:spacing w:val="10"/>
          <w:szCs w:val="21"/>
        </w:rPr>
        <w:t>·乙方应在签署本协议的同时在授权指定账户存入足额的资金以确保账户余额大于或等于认/申购金额。</w:t>
      </w:r>
    </w:p>
    <w:p w:rsidR="0064350B" w:rsidRDefault="0064350B" w:rsidP="0064350B">
      <w:pPr>
        <w:ind w:firstLineChars="185" w:firstLine="425"/>
        <w:rPr>
          <w:rFonts w:ascii="宋体" w:hAnsi="宋体"/>
          <w:spacing w:val="10"/>
          <w:szCs w:val="21"/>
        </w:rPr>
      </w:pPr>
      <w:r>
        <w:rPr>
          <w:rFonts w:ascii="宋体" w:hAnsi="宋体" w:hint="eastAsia"/>
          <w:spacing w:val="10"/>
          <w:szCs w:val="21"/>
        </w:rPr>
        <w:t>·因乙方原因造成理财账户资金余额不足、挂失、换卡等特殊情况或被有权机关采取冻结、扣划等措施导致认/申购不成功，以及在本理财产品存续期内如因有权机关依法采取强制措施导致理财份额被冻结或理财账户被冻结或扣划的，甲方对此不承担任何责任。</w:t>
      </w:r>
    </w:p>
    <w:p w:rsidR="0064350B" w:rsidRDefault="0064350B" w:rsidP="0064350B">
      <w:pPr>
        <w:ind w:firstLineChars="185" w:firstLine="425"/>
        <w:rPr>
          <w:rFonts w:ascii="宋体" w:hAnsi="宋体"/>
          <w:spacing w:val="10"/>
          <w:szCs w:val="21"/>
        </w:rPr>
      </w:pPr>
      <w:r>
        <w:rPr>
          <w:rFonts w:ascii="宋体" w:hAnsi="宋体" w:hint="eastAsia"/>
          <w:spacing w:val="10"/>
          <w:szCs w:val="21"/>
        </w:rPr>
        <w:t>·本协议终止前，乙方不得将授权指定账户销户。若发生因乙方注销授权指定账户造成理财产品无法正常兑付的，甲方不承担任何责任。</w:t>
      </w:r>
    </w:p>
    <w:p w:rsidR="0064350B" w:rsidRDefault="0064350B" w:rsidP="0064350B">
      <w:pPr>
        <w:ind w:firstLineChars="185" w:firstLine="425"/>
        <w:rPr>
          <w:rFonts w:ascii="宋体" w:hAnsi="宋体"/>
          <w:spacing w:val="10"/>
          <w:szCs w:val="21"/>
        </w:rPr>
      </w:pPr>
      <w:r>
        <w:rPr>
          <w:rFonts w:ascii="宋体" w:hAnsi="宋体" w:hint="eastAsia"/>
          <w:spacing w:val="10"/>
          <w:szCs w:val="21"/>
        </w:rPr>
        <w:t>5．</w:t>
      </w:r>
      <w:r>
        <w:rPr>
          <w:rFonts w:ascii="宋体" w:hAnsi="宋体"/>
          <w:spacing w:val="10"/>
          <w:szCs w:val="21"/>
        </w:rPr>
        <w:t xml:space="preserve"> 特别提示</w:t>
      </w:r>
    </w:p>
    <w:p w:rsidR="0064350B" w:rsidRDefault="0064350B" w:rsidP="0064350B">
      <w:pPr>
        <w:ind w:firstLineChars="185" w:firstLine="425"/>
        <w:rPr>
          <w:rFonts w:ascii="方正细黑一简体" w:eastAsia="方正细黑一简体" w:hAnsi="宋体"/>
          <w:szCs w:val="21"/>
        </w:rPr>
      </w:pPr>
      <w:r>
        <w:rPr>
          <w:rFonts w:ascii="宋体" w:hAnsi="宋体" w:hint="eastAsia"/>
          <w:spacing w:val="10"/>
          <w:szCs w:val="21"/>
        </w:rPr>
        <w:t>（1）理财产品认/申购申请：参照《投资者权益须知》约定。</w:t>
      </w:r>
    </w:p>
    <w:p w:rsidR="0064350B" w:rsidRDefault="0064350B" w:rsidP="0064350B">
      <w:pPr>
        <w:ind w:firstLineChars="185" w:firstLine="425"/>
        <w:rPr>
          <w:rFonts w:ascii="宋体" w:hAnsi="宋体"/>
          <w:spacing w:val="10"/>
          <w:szCs w:val="21"/>
        </w:rPr>
      </w:pPr>
      <w:r>
        <w:rPr>
          <w:rFonts w:ascii="宋体" w:hAnsi="宋体" w:hint="eastAsia"/>
          <w:spacing w:val="10"/>
          <w:szCs w:val="21"/>
        </w:rPr>
        <w:t>（2）理财产品认/申购撤销申请：</w:t>
      </w:r>
    </w:p>
    <w:p w:rsidR="0064350B" w:rsidRDefault="0064350B" w:rsidP="0064350B">
      <w:pPr>
        <w:ind w:firstLineChars="185" w:firstLine="425"/>
        <w:rPr>
          <w:rFonts w:ascii="宋体" w:hAnsi="宋体"/>
          <w:spacing w:val="10"/>
          <w:szCs w:val="21"/>
        </w:rPr>
      </w:pPr>
      <w:r>
        <w:rPr>
          <w:rFonts w:ascii="宋体" w:hAnsi="宋体" w:hint="eastAsia"/>
          <w:spacing w:val="10"/>
          <w:szCs w:val="21"/>
        </w:rPr>
        <w:t>乙方在理财产品募集期/开放期/投资冷静期（私募产品适用）内，可以撤销已经购买但尚未正式扣款的理财产品购买申请。</w:t>
      </w:r>
    </w:p>
    <w:p w:rsidR="0064350B" w:rsidRDefault="0064350B" w:rsidP="0064350B">
      <w:pPr>
        <w:ind w:firstLineChars="185" w:firstLine="425"/>
        <w:rPr>
          <w:rFonts w:ascii="宋体" w:hAnsi="宋体"/>
          <w:spacing w:val="10"/>
          <w:szCs w:val="21"/>
        </w:rPr>
      </w:pPr>
      <w:r>
        <w:rPr>
          <w:rFonts w:ascii="宋体" w:hAnsi="宋体" w:hint="eastAsia"/>
          <w:spacing w:val="10"/>
          <w:szCs w:val="21"/>
        </w:rPr>
        <w:t>（3）理财产品不成立：</w:t>
      </w:r>
    </w:p>
    <w:p w:rsidR="0064350B" w:rsidRDefault="0064350B" w:rsidP="0064350B">
      <w:pPr>
        <w:ind w:firstLineChars="185" w:firstLine="425"/>
        <w:rPr>
          <w:rFonts w:ascii="宋体" w:hAnsi="宋体"/>
          <w:spacing w:val="10"/>
          <w:szCs w:val="21"/>
        </w:rPr>
      </w:pPr>
      <w:r>
        <w:rPr>
          <w:rFonts w:ascii="宋体" w:hAnsi="宋体" w:hint="eastAsia"/>
          <w:spacing w:val="10"/>
          <w:szCs w:val="21"/>
        </w:rPr>
        <w:t>若在募集期结束日，本理财产品发行规模未能达到对应期次的《理财产品说明书》规定的要求，则本理财产品不成立，甲方按照对应期次的《理财产品说明书》约定条款向乙方进行公告，并将认购资金划回</w:t>
      </w:r>
      <w:r>
        <w:rPr>
          <w:rFonts w:ascii="宋体" w:hAnsi="宋体" w:hint="eastAsia"/>
          <w:spacing w:val="10"/>
          <w:szCs w:val="21"/>
        </w:rPr>
        <w:lastRenderedPageBreak/>
        <w:t>乙方授权指定账户内。</w:t>
      </w:r>
    </w:p>
    <w:p w:rsidR="0064350B" w:rsidRDefault="0064350B" w:rsidP="0064350B">
      <w:pPr>
        <w:ind w:firstLineChars="185" w:firstLine="425"/>
        <w:rPr>
          <w:rFonts w:ascii="宋体" w:hAnsi="宋体"/>
          <w:spacing w:val="10"/>
          <w:szCs w:val="21"/>
        </w:rPr>
      </w:pPr>
      <w:r>
        <w:rPr>
          <w:rFonts w:ascii="宋体" w:hAnsi="宋体" w:hint="eastAsia"/>
          <w:spacing w:val="10"/>
          <w:szCs w:val="21"/>
        </w:rPr>
        <w:t>（4）理财产品投资品种、投资起点金额、收益支付方式：参照对应期次的《理财产品说明书》中的条款约定。</w:t>
      </w:r>
    </w:p>
    <w:p w:rsidR="0064350B" w:rsidRDefault="0064350B" w:rsidP="0064350B">
      <w:pPr>
        <w:ind w:firstLineChars="185" w:firstLine="425"/>
        <w:rPr>
          <w:rFonts w:ascii="宋体" w:hAnsi="宋体"/>
          <w:spacing w:val="10"/>
          <w:szCs w:val="21"/>
        </w:rPr>
      </w:pPr>
      <w:r>
        <w:rPr>
          <w:rFonts w:ascii="宋体" w:hAnsi="宋体" w:hint="eastAsia"/>
          <w:spacing w:val="10"/>
          <w:szCs w:val="21"/>
        </w:rPr>
        <w:t>（5）理财产品兑付：</w:t>
      </w:r>
    </w:p>
    <w:p w:rsidR="0064350B" w:rsidRDefault="0064350B" w:rsidP="0064350B">
      <w:pPr>
        <w:ind w:firstLineChars="185" w:firstLine="425"/>
        <w:rPr>
          <w:rFonts w:ascii="宋体" w:hAnsi="宋体"/>
          <w:spacing w:val="10"/>
          <w:szCs w:val="21"/>
        </w:rPr>
      </w:pPr>
      <w:r>
        <w:rPr>
          <w:rFonts w:ascii="宋体" w:hAnsi="宋体" w:hint="eastAsia"/>
          <w:spacing w:val="10"/>
          <w:szCs w:val="21"/>
        </w:rPr>
        <w:t>甲方按照对应期次的《理财产品说明书》相关约定，将兑付款项划入乙方授权指定账户。</w:t>
      </w:r>
    </w:p>
    <w:p w:rsidR="0064350B" w:rsidRDefault="0064350B" w:rsidP="0064350B">
      <w:pPr>
        <w:numPr>
          <w:ilvl w:val="0"/>
          <w:numId w:val="6"/>
        </w:numPr>
        <w:ind w:firstLineChars="185" w:firstLine="425"/>
        <w:rPr>
          <w:rFonts w:ascii="宋体" w:hAnsi="宋体"/>
          <w:spacing w:val="10"/>
          <w:szCs w:val="21"/>
        </w:rPr>
      </w:pPr>
      <w:r>
        <w:rPr>
          <w:rFonts w:ascii="宋体" w:hAnsi="宋体" w:hint="eastAsia"/>
          <w:spacing w:val="10"/>
          <w:szCs w:val="21"/>
        </w:rPr>
        <w:t>税收条款：以对应期次的《理财产品说明书》约定为准，如遇国家政策调整则相应执行最新政策。</w:t>
      </w:r>
    </w:p>
    <w:p w:rsidR="0064350B" w:rsidRDefault="0064350B" w:rsidP="0064350B">
      <w:pPr>
        <w:numPr>
          <w:ilvl w:val="0"/>
          <w:numId w:val="6"/>
        </w:numPr>
        <w:ind w:firstLineChars="185" w:firstLine="427"/>
        <w:rPr>
          <w:rFonts w:ascii="宋体" w:hAnsi="宋体"/>
          <w:b/>
          <w:bCs/>
          <w:spacing w:val="10"/>
          <w:szCs w:val="21"/>
        </w:rPr>
      </w:pPr>
      <w:r>
        <w:rPr>
          <w:rFonts w:ascii="宋体" w:hAnsi="宋体" w:hint="eastAsia"/>
          <w:b/>
          <w:bCs/>
          <w:spacing w:val="10"/>
          <w:szCs w:val="21"/>
        </w:rPr>
        <w:t>在本产品存续期内，如因国家法律法规、监管规定发生变化，或是出于维护本产品正常运营的需要，在不损害客户权益的前提下，银行有权对本产品协议书、产品说明书以及相关文件进行修订，并提前3个工作日在银行网站或相关营业网点进行信息披露。客户有权不接受变更，可根据</w:t>
      </w:r>
      <w:r>
        <w:rPr>
          <w:rFonts w:ascii="Calibri" w:hAnsi="Calibri" w:hint="eastAsia"/>
          <w:b/>
          <w:bCs/>
        </w:rPr>
        <w:t>信息披露的内容</w:t>
      </w:r>
      <w:r>
        <w:rPr>
          <w:rFonts w:ascii="宋体" w:hAnsi="宋体" w:hint="eastAsia"/>
          <w:b/>
          <w:bCs/>
          <w:spacing w:val="10"/>
          <w:szCs w:val="21"/>
        </w:rPr>
        <w:t>向银行申请提前赎回。客户未选择赎回本产品，视为已理解并接受修订后的理财产品销售协议书、理财产品说明书、理财产品风险揭示书以及其他相关文件。</w:t>
      </w:r>
    </w:p>
    <w:p w:rsidR="0064350B" w:rsidRDefault="0064350B" w:rsidP="0064350B">
      <w:pPr>
        <w:ind w:firstLineChars="185" w:firstLine="425"/>
        <w:rPr>
          <w:rFonts w:ascii="宋体" w:hAnsi="宋体"/>
          <w:spacing w:val="10"/>
          <w:szCs w:val="21"/>
        </w:rPr>
      </w:pPr>
      <w:r>
        <w:rPr>
          <w:rFonts w:ascii="宋体" w:hAnsi="宋体" w:hint="eastAsia"/>
          <w:spacing w:val="10"/>
          <w:szCs w:val="21"/>
        </w:rPr>
        <w:t>6．</w:t>
      </w:r>
      <w:r>
        <w:rPr>
          <w:rFonts w:ascii="宋体" w:hAnsi="宋体"/>
          <w:spacing w:val="10"/>
          <w:szCs w:val="21"/>
        </w:rPr>
        <w:t>争议处理</w:t>
      </w:r>
    </w:p>
    <w:p w:rsidR="0064350B" w:rsidRDefault="0064350B" w:rsidP="0064350B">
      <w:pPr>
        <w:ind w:firstLineChars="185" w:firstLine="388"/>
        <w:rPr>
          <w:szCs w:val="21"/>
        </w:rPr>
      </w:pPr>
      <w:r>
        <w:rPr>
          <w:rFonts w:hint="eastAsia"/>
          <w:szCs w:val="21"/>
        </w:rPr>
        <w:t>本合同在履行过程中发生争议，可以通过协商解决；协商不成的，按法律规定解决。</w:t>
      </w:r>
    </w:p>
    <w:p w:rsidR="0064350B" w:rsidRDefault="0064350B" w:rsidP="0064350B">
      <w:pPr>
        <w:ind w:firstLineChars="185" w:firstLine="425"/>
        <w:rPr>
          <w:rFonts w:ascii="宋体" w:hAnsi="宋体"/>
          <w:spacing w:val="10"/>
          <w:szCs w:val="21"/>
        </w:rPr>
      </w:pPr>
      <w:r>
        <w:rPr>
          <w:rFonts w:ascii="宋体" w:hAnsi="宋体" w:hint="eastAsia"/>
          <w:spacing w:val="10"/>
          <w:szCs w:val="21"/>
        </w:rPr>
        <w:t>7．</w:t>
      </w:r>
      <w:r>
        <w:rPr>
          <w:rFonts w:ascii="宋体" w:hAnsi="宋体"/>
          <w:spacing w:val="10"/>
          <w:szCs w:val="21"/>
        </w:rPr>
        <w:t>协议的生效和终止</w:t>
      </w:r>
    </w:p>
    <w:p w:rsidR="0064350B" w:rsidRDefault="0064350B" w:rsidP="0064350B">
      <w:pPr>
        <w:ind w:firstLineChars="185" w:firstLine="425"/>
        <w:rPr>
          <w:rFonts w:ascii="宋体" w:hAnsi="宋体"/>
          <w:spacing w:val="10"/>
          <w:szCs w:val="21"/>
        </w:rPr>
      </w:pPr>
      <w:r>
        <w:rPr>
          <w:rFonts w:ascii="宋体" w:hAnsi="宋体" w:hint="eastAsia"/>
          <w:spacing w:val="10"/>
          <w:szCs w:val="21"/>
        </w:rPr>
        <w:t>·本协议在双方盖章后立即生效。乙方通过甲方电子渠道（包括但不限于网上银行等）认/申购的，协议经乙方在理财认/申购界面点击确认按钮后生效。</w:t>
      </w:r>
    </w:p>
    <w:p w:rsidR="0064350B" w:rsidRDefault="0064350B" w:rsidP="0064350B">
      <w:pPr>
        <w:ind w:firstLineChars="185" w:firstLine="425"/>
        <w:rPr>
          <w:rFonts w:ascii="宋体" w:hAnsi="宋体"/>
          <w:spacing w:val="10"/>
          <w:szCs w:val="21"/>
        </w:rPr>
      </w:pPr>
      <w:r>
        <w:rPr>
          <w:rFonts w:ascii="宋体" w:hAnsi="宋体" w:hint="eastAsia"/>
          <w:spacing w:val="10"/>
          <w:szCs w:val="21"/>
        </w:rPr>
        <w:t>·理财产品到期兑付完毕后，本协议自动终止。</w:t>
      </w:r>
    </w:p>
    <w:p w:rsidR="0064350B" w:rsidRDefault="0064350B" w:rsidP="0064350B">
      <w:pPr>
        <w:ind w:firstLineChars="185" w:firstLine="425"/>
        <w:rPr>
          <w:rFonts w:ascii="宋体" w:hAnsi="宋体"/>
          <w:spacing w:val="10"/>
          <w:szCs w:val="21"/>
        </w:rPr>
      </w:pPr>
      <w:r>
        <w:rPr>
          <w:rFonts w:ascii="宋体" w:hAnsi="宋体" w:hint="eastAsia"/>
          <w:spacing w:val="10"/>
          <w:szCs w:val="21"/>
        </w:rPr>
        <w:t>·本协议一式两份，甲乙双方各执一份，具有同等法律效力。</w:t>
      </w:r>
    </w:p>
    <w:p w:rsidR="0064350B" w:rsidRDefault="0064350B" w:rsidP="0064350B">
      <w:pPr>
        <w:ind w:firstLineChars="185" w:firstLine="427"/>
        <w:rPr>
          <w:rFonts w:ascii="宋体" w:hAnsi="宋体"/>
          <w:b/>
          <w:spacing w:val="10"/>
          <w:szCs w:val="21"/>
        </w:rPr>
      </w:pPr>
      <w:r>
        <w:rPr>
          <w:rFonts w:ascii="宋体" w:hAnsi="宋体" w:hint="eastAsia"/>
          <w:b/>
          <w:spacing w:val="10"/>
          <w:szCs w:val="21"/>
        </w:rPr>
        <w:t>8．</w:t>
      </w:r>
      <w:r>
        <w:rPr>
          <w:rFonts w:ascii="宋体" w:hAnsi="宋体"/>
          <w:b/>
          <w:spacing w:val="10"/>
          <w:szCs w:val="21"/>
        </w:rPr>
        <w:t>乙方声明：</w:t>
      </w:r>
    </w:p>
    <w:p w:rsidR="0064350B" w:rsidRDefault="0064350B" w:rsidP="0064350B">
      <w:pPr>
        <w:ind w:firstLineChars="185" w:firstLine="427"/>
        <w:rPr>
          <w:rFonts w:ascii="宋体" w:hAnsi="宋体"/>
          <w:b/>
          <w:spacing w:val="10"/>
          <w:szCs w:val="21"/>
        </w:rPr>
      </w:pPr>
      <w:r>
        <w:rPr>
          <w:rFonts w:ascii="宋体" w:hAnsi="宋体"/>
          <w:b/>
          <w:spacing w:val="10"/>
          <w:szCs w:val="21"/>
        </w:rPr>
        <w:t>在签署本产品协议书以前，甲方已就本产品协议书及有关交易文件的全部条款和内容向乙方进行了详细的说明和解释，乙方已认真阅读本产品协议条款及对应期次</w:t>
      </w:r>
      <w:r>
        <w:rPr>
          <w:rFonts w:ascii="宋体" w:hAnsi="宋体" w:hint="eastAsia"/>
          <w:b/>
          <w:spacing w:val="10"/>
          <w:szCs w:val="21"/>
        </w:rPr>
        <w:t>的《理财</w:t>
      </w:r>
      <w:r>
        <w:rPr>
          <w:rFonts w:ascii="宋体" w:hAnsi="宋体"/>
          <w:b/>
          <w:spacing w:val="10"/>
          <w:szCs w:val="21"/>
        </w:rPr>
        <w:t>产品说明书</w:t>
      </w:r>
      <w:r>
        <w:rPr>
          <w:rFonts w:ascii="宋体" w:hAnsi="宋体" w:hint="eastAsia"/>
          <w:b/>
          <w:spacing w:val="10"/>
          <w:szCs w:val="21"/>
        </w:rPr>
        <w:t>》</w:t>
      </w:r>
      <w:r>
        <w:rPr>
          <w:rFonts w:ascii="宋体" w:hAnsi="宋体"/>
          <w:b/>
          <w:spacing w:val="10"/>
          <w:szCs w:val="21"/>
        </w:rPr>
        <w:t>和</w:t>
      </w:r>
      <w:r>
        <w:rPr>
          <w:rFonts w:ascii="宋体" w:hAnsi="宋体" w:hint="eastAsia"/>
          <w:b/>
          <w:spacing w:val="10"/>
          <w:szCs w:val="21"/>
        </w:rPr>
        <w:t>《理财产品风险揭示书》</w:t>
      </w:r>
      <w:r>
        <w:rPr>
          <w:rFonts w:ascii="宋体" w:hAnsi="宋体"/>
          <w:b/>
          <w:spacing w:val="10"/>
          <w:szCs w:val="21"/>
        </w:rPr>
        <w:t>，</w:t>
      </w:r>
      <w:r>
        <w:rPr>
          <w:rFonts w:ascii="宋体" w:hAnsi="宋体" w:hint="eastAsia"/>
          <w:b/>
          <w:spacing w:val="10"/>
          <w:szCs w:val="21"/>
        </w:rPr>
        <w:t>明确本理财计划委托代理性质，愿意承担投资风险，</w:t>
      </w:r>
      <w:r>
        <w:rPr>
          <w:rFonts w:ascii="宋体" w:hAnsi="宋体"/>
          <w:b/>
          <w:spacing w:val="10"/>
          <w:szCs w:val="21"/>
        </w:rPr>
        <w:t>对有关条款不存在任何疑问或异议，并对协议双方的权利、义务、责任与风险有清楚和准确的理解。</w:t>
      </w:r>
    </w:p>
    <w:p w:rsidR="0064350B" w:rsidRDefault="0064350B" w:rsidP="0064350B">
      <w:pPr>
        <w:ind w:firstLineChars="185" w:firstLine="427"/>
        <w:rPr>
          <w:rFonts w:ascii="宋体" w:hAnsi="宋体"/>
          <w:b/>
          <w:spacing w:val="10"/>
          <w:szCs w:val="21"/>
        </w:rPr>
      </w:pPr>
      <w:r>
        <w:rPr>
          <w:rFonts w:ascii="宋体" w:hAnsi="宋体" w:hint="eastAsia"/>
          <w:b/>
          <w:spacing w:val="10"/>
          <w:szCs w:val="21"/>
        </w:rPr>
        <w:t>乙方（金融机构客户不适用）授权甲方于募集期/开放期/投资冷静期（私募产品适用）结束后从乙方授权指定账户扣划相应的认/申购资金。</w:t>
      </w:r>
    </w:p>
    <w:p w:rsidR="0064350B" w:rsidRDefault="0064350B" w:rsidP="0064350B">
      <w:pPr>
        <w:ind w:firstLineChars="185" w:firstLine="425"/>
        <w:rPr>
          <w:rFonts w:ascii="宋体" w:hAnsi="宋体"/>
          <w:spacing w:val="10"/>
          <w:szCs w:val="21"/>
        </w:rPr>
      </w:pPr>
      <w:r>
        <w:rPr>
          <w:rFonts w:ascii="宋体" w:hAnsi="宋体" w:hint="eastAsia"/>
          <w:spacing w:val="10"/>
          <w:szCs w:val="21"/>
        </w:rPr>
        <w:t>9.</w:t>
      </w:r>
      <w:r>
        <w:rPr>
          <w:rFonts w:ascii="宋体" w:hAnsi="宋体"/>
          <w:spacing w:val="10"/>
          <w:szCs w:val="21"/>
        </w:rPr>
        <w:t xml:space="preserve"> 本协议</w:t>
      </w:r>
      <w:r>
        <w:rPr>
          <w:rFonts w:ascii="宋体" w:hAnsi="宋体" w:hint="eastAsia"/>
          <w:spacing w:val="10"/>
          <w:szCs w:val="21"/>
        </w:rPr>
        <w:t>为理财产品销售文件不可分割之组成部分，</w:t>
      </w:r>
      <w:r>
        <w:rPr>
          <w:rFonts w:ascii="宋体" w:hAnsi="宋体"/>
          <w:spacing w:val="10"/>
          <w:szCs w:val="21"/>
        </w:rPr>
        <w:t>乙方签署本协议的同时应当详细阅读协议条款及对应期次</w:t>
      </w:r>
      <w:r>
        <w:rPr>
          <w:rFonts w:ascii="宋体" w:hAnsi="宋体" w:hint="eastAsia"/>
          <w:spacing w:val="10"/>
          <w:szCs w:val="21"/>
        </w:rPr>
        <w:t>的《理财</w:t>
      </w:r>
      <w:r>
        <w:rPr>
          <w:rFonts w:ascii="宋体" w:hAnsi="宋体"/>
          <w:spacing w:val="10"/>
          <w:szCs w:val="21"/>
        </w:rPr>
        <w:t>产品说明书</w:t>
      </w:r>
      <w:r>
        <w:rPr>
          <w:rFonts w:ascii="宋体" w:hAnsi="宋体" w:hint="eastAsia"/>
          <w:spacing w:val="10"/>
          <w:szCs w:val="21"/>
        </w:rPr>
        <w:t>》</w:t>
      </w:r>
      <w:r>
        <w:rPr>
          <w:rFonts w:ascii="宋体" w:hAnsi="宋体"/>
          <w:spacing w:val="10"/>
          <w:szCs w:val="21"/>
        </w:rPr>
        <w:t>、</w:t>
      </w:r>
      <w:r>
        <w:rPr>
          <w:rFonts w:ascii="宋体" w:hAnsi="宋体" w:hint="eastAsia"/>
          <w:spacing w:val="10"/>
          <w:szCs w:val="21"/>
        </w:rPr>
        <w:t>《理财产品风险揭示书》</w:t>
      </w:r>
      <w:r>
        <w:rPr>
          <w:rFonts w:ascii="宋体" w:hAnsi="宋体"/>
          <w:spacing w:val="10"/>
          <w:szCs w:val="21"/>
        </w:rPr>
        <w:t>及</w:t>
      </w:r>
      <w:r>
        <w:rPr>
          <w:rFonts w:ascii="宋体" w:hAnsi="宋体" w:hint="eastAsia"/>
          <w:spacing w:val="10"/>
          <w:szCs w:val="21"/>
        </w:rPr>
        <w:t>《投资者</w:t>
      </w:r>
      <w:r>
        <w:rPr>
          <w:rFonts w:ascii="宋体" w:hAnsi="宋体"/>
          <w:spacing w:val="10"/>
          <w:szCs w:val="21"/>
        </w:rPr>
        <w:t>权益须知</w:t>
      </w:r>
      <w:r>
        <w:rPr>
          <w:rFonts w:ascii="宋体" w:hAnsi="宋体" w:hint="eastAsia"/>
          <w:spacing w:val="10"/>
          <w:szCs w:val="21"/>
        </w:rPr>
        <w:t>》</w:t>
      </w:r>
      <w:r>
        <w:rPr>
          <w:rFonts w:ascii="宋体" w:hAnsi="宋体"/>
          <w:spacing w:val="10"/>
          <w:szCs w:val="21"/>
        </w:rPr>
        <w:t>等理财产品销售文件。</w:t>
      </w:r>
    </w:p>
    <w:p w:rsidR="0064350B" w:rsidRDefault="0064350B" w:rsidP="0064350B">
      <w:pPr>
        <w:ind w:firstLineChars="185" w:firstLine="388"/>
        <w:rPr>
          <w:rFonts w:ascii="方正细黑一简体" w:eastAsia="方正细黑一简体" w:hAnsi="宋体"/>
          <w:szCs w:val="21"/>
        </w:rPr>
      </w:pPr>
    </w:p>
    <w:p w:rsidR="0064350B" w:rsidRDefault="0064350B" w:rsidP="0064350B">
      <w:pPr>
        <w:ind w:firstLineChars="185" w:firstLine="388"/>
        <w:rPr>
          <w:rFonts w:ascii="方正细黑一简体" w:eastAsia="方正细黑一简体" w:hAnsi="宋体"/>
          <w:szCs w:val="21"/>
        </w:rPr>
      </w:pPr>
    </w:p>
    <w:p w:rsidR="0064350B" w:rsidRDefault="0064350B" w:rsidP="0064350B">
      <w:pPr>
        <w:ind w:firstLineChars="185" w:firstLine="388"/>
        <w:rPr>
          <w:rFonts w:ascii="方正细黑一简体" w:eastAsia="方正细黑一简体" w:hAnsi="宋体"/>
          <w:szCs w:val="21"/>
        </w:rPr>
      </w:pPr>
      <w:r>
        <w:rPr>
          <w:rFonts w:ascii="方正细黑一简体" w:eastAsia="方正细黑一简体" w:hAnsi="宋体" w:hint="eastAsia"/>
          <w:szCs w:val="21"/>
        </w:rPr>
        <w:t>甲方（公章）：</w:t>
      </w:r>
      <w:r>
        <w:rPr>
          <w:rFonts w:ascii="方正细黑一简体" w:eastAsia="方正细黑一简体" w:hAnsi="宋体"/>
          <w:szCs w:val="21"/>
        </w:rPr>
        <w:t xml:space="preserve">                      </w:t>
      </w:r>
      <w:r>
        <w:rPr>
          <w:rFonts w:ascii="方正细黑一简体" w:eastAsia="方正细黑一简体" w:hAnsi="宋体" w:hint="eastAsia"/>
          <w:szCs w:val="21"/>
        </w:rPr>
        <w:t xml:space="preserve">       </w:t>
      </w:r>
      <w:r>
        <w:rPr>
          <w:rFonts w:ascii="方正细黑一简体" w:eastAsia="方正细黑一简体" w:hAnsi="宋体"/>
          <w:szCs w:val="21"/>
        </w:rPr>
        <w:t xml:space="preserve">         乙方（</w:t>
      </w:r>
      <w:r>
        <w:rPr>
          <w:rFonts w:ascii="方正细黑一简体" w:eastAsia="方正细黑一简体" w:hAnsi="宋体" w:hint="eastAsia"/>
          <w:szCs w:val="21"/>
        </w:rPr>
        <w:t>公章</w:t>
      </w:r>
      <w:r>
        <w:rPr>
          <w:rFonts w:ascii="方正细黑一简体" w:eastAsia="方正细黑一简体" w:hAnsi="宋体"/>
          <w:szCs w:val="21"/>
        </w:rPr>
        <w:t>）：</w:t>
      </w:r>
    </w:p>
    <w:p w:rsidR="0064350B" w:rsidRDefault="0064350B" w:rsidP="0064350B">
      <w:pPr>
        <w:ind w:firstLineChars="185" w:firstLine="388"/>
        <w:rPr>
          <w:rFonts w:ascii="方正细黑一简体" w:eastAsia="方正细黑一简体" w:hAnsi="宋体"/>
          <w:szCs w:val="21"/>
        </w:rPr>
      </w:pPr>
    </w:p>
    <w:p w:rsidR="0064350B" w:rsidRDefault="0064350B" w:rsidP="0064350B">
      <w:pPr>
        <w:ind w:firstLineChars="185" w:firstLine="388"/>
        <w:rPr>
          <w:szCs w:val="21"/>
        </w:rPr>
      </w:pPr>
      <w:r>
        <w:rPr>
          <w:rFonts w:ascii="方正细黑一简体" w:eastAsia="方正细黑一简体" w:hAnsi="宋体" w:hint="eastAsia"/>
          <w:szCs w:val="21"/>
        </w:rPr>
        <w:t xml:space="preserve">签约日期：  </w:t>
      </w:r>
      <w:r>
        <w:rPr>
          <w:rFonts w:ascii="方正细黑一简体" w:eastAsia="方正细黑一简体" w:hAnsi="宋体"/>
          <w:szCs w:val="21"/>
        </w:rPr>
        <w:t xml:space="preserve"> </w:t>
      </w:r>
      <w:r>
        <w:rPr>
          <w:rFonts w:ascii="方正细黑一简体" w:eastAsia="方正细黑一简体" w:hAnsi="宋体" w:hint="eastAsia"/>
          <w:szCs w:val="21"/>
        </w:rPr>
        <w:t>年</w:t>
      </w:r>
      <w:r>
        <w:rPr>
          <w:rFonts w:ascii="方正细黑一简体" w:eastAsia="方正细黑一简体" w:hAnsi="宋体"/>
          <w:szCs w:val="21"/>
        </w:rPr>
        <w:t xml:space="preserve">  月  日   </w:t>
      </w:r>
      <w:r>
        <w:rPr>
          <w:rFonts w:ascii="方正细黑一简体" w:eastAsia="方正细黑一简体" w:hAnsi="宋体" w:hint="eastAsia"/>
          <w:szCs w:val="21"/>
        </w:rPr>
        <w:t xml:space="preserve">                           </w:t>
      </w:r>
      <w:r>
        <w:rPr>
          <w:rFonts w:ascii="方正细黑一简体" w:eastAsia="方正细黑一简体" w:hAnsi="宋体"/>
          <w:szCs w:val="21"/>
        </w:rPr>
        <w:t>签约日期：</w:t>
      </w:r>
      <w:r>
        <w:rPr>
          <w:rFonts w:ascii="方正细黑一简体" w:eastAsia="方正细黑一简体" w:hAnsi="宋体" w:hint="eastAsia"/>
          <w:szCs w:val="21"/>
        </w:rPr>
        <w:t xml:space="preserve">  </w:t>
      </w:r>
      <w:r>
        <w:rPr>
          <w:rFonts w:ascii="方正细黑一简体" w:eastAsia="方正细黑一简体" w:hAnsi="宋体"/>
          <w:szCs w:val="21"/>
        </w:rPr>
        <w:t xml:space="preserve"> 年  月  日</w:t>
      </w:r>
      <w:bookmarkEnd w:id="15"/>
      <w:bookmarkEnd w:id="16"/>
    </w:p>
    <w:p w:rsidR="0064350B" w:rsidRP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64350B" w:rsidRDefault="0064350B">
      <w:pPr>
        <w:widowControl/>
        <w:spacing w:line="240" w:lineRule="exact"/>
        <w:jc w:val="center"/>
        <w:rPr>
          <w:rFonts w:ascii="黑体" w:eastAsia="黑体" w:hAnsi="黑体" w:cs="宋体"/>
          <w:color w:val="3D3D3D"/>
          <w:kern w:val="0"/>
          <w:sz w:val="18"/>
          <w:szCs w:val="18"/>
        </w:rPr>
      </w:pPr>
    </w:p>
    <w:p w:rsidR="00520105" w:rsidRPr="00372C07" w:rsidRDefault="00C65E80">
      <w:pPr>
        <w:widowControl/>
        <w:spacing w:line="240" w:lineRule="exact"/>
        <w:jc w:val="center"/>
        <w:rPr>
          <w:rFonts w:asciiTheme="minorEastAsia" w:eastAsiaTheme="minorEastAsia" w:hAnsiTheme="minorEastAsia" w:cs="宋体"/>
          <w:b/>
          <w:color w:val="3D3D3D"/>
          <w:kern w:val="0"/>
          <w:szCs w:val="21"/>
        </w:rPr>
      </w:pPr>
      <w:r w:rsidRPr="00372C07">
        <w:rPr>
          <w:rFonts w:asciiTheme="minorEastAsia" w:eastAsiaTheme="minorEastAsia" w:hAnsiTheme="minorEastAsia" w:cs="宋体" w:hint="eastAsia"/>
          <w:b/>
          <w:color w:val="3D3D3D"/>
          <w:kern w:val="0"/>
          <w:szCs w:val="21"/>
        </w:rPr>
        <w:t>理财产品风险揭示书</w:t>
      </w:r>
    </w:p>
    <w:p w:rsidR="00520105" w:rsidRPr="00372C07" w:rsidRDefault="00C65E80">
      <w:pPr>
        <w:widowControl/>
        <w:spacing w:line="240" w:lineRule="exact"/>
        <w:jc w:val="center"/>
        <w:rPr>
          <w:rFonts w:asciiTheme="minorEastAsia" w:eastAsiaTheme="minorEastAsia" w:hAnsiTheme="minorEastAsia" w:cs="宋体"/>
          <w:color w:val="3D3D3D"/>
          <w:kern w:val="0"/>
          <w:szCs w:val="21"/>
        </w:rPr>
      </w:pPr>
      <w:r w:rsidRPr="00372C07">
        <w:rPr>
          <w:rFonts w:asciiTheme="minorEastAsia" w:eastAsiaTheme="minorEastAsia" w:hAnsiTheme="minorEastAsia" w:hint="eastAsia"/>
          <w:b/>
          <w:bCs/>
          <w:i/>
          <w:kern w:val="0"/>
          <w:szCs w:val="21"/>
          <w:u w:val="single"/>
        </w:rPr>
        <w:t>“理财非存款、产品有风险、投资须谨慎”！</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b/>
          <w:color w:val="3D3D3D"/>
          <w:kern w:val="0"/>
          <w:szCs w:val="21"/>
        </w:rPr>
        <w:t>本理财产品是</w:t>
      </w:r>
      <w:r w:rsidRPr="00372C07">
        <w:rPr>
          <w:rFonts w:asciiTheme="minorEastAsia" w:eastAsiaTheme="minorEastAsia" w:hAnsiTheme="minorEastAsia" w:cs="宋体" w:hint="eastAsia"/>
          <w:b/>
          <w:i/>
          <w:color w:val="3D3D3D"/>
          <w:kern w:val="0"/>
          <w:szCs w:val="21"/>
          <w:u w:val="single"/>
        </w:rPr>
        <w:t>非保本浮动收益型、开放式、固定收益类、公募</w:t>
      </w:r>
      <w:r w:rsidRPr="00372C07">
        <w:rPr>
          <w:rFonts w:asciiTheme="minorEastAsia" w:eastAsiaTheme="minorEastAsia" w:hAnsiTheme="minorEastAsia" w:cs="宋体" w:hint="eastAsia"/>
          <w:b/>
          <w:color w:val="3D3D3D"/>
          <w:kern w:val="0"/>
          <w:szCs w:val="21"/>
        </w:rPr>
        <w:t>理财产品，</w:t>
      </w:r>
      <w:r w:rsidRPr="00372C07">
        <w:rPr>
          <w:rFonts w:asciiTheme="minorEastAsia" w:eastAsiaTheme="minorEastAsia" w:hAnsiTheme="minorEastAsia" w:cs="宋体" w:hint="eastAsia"/>
          <w:b/>
          <w:i/>
          <w:color w:val="3D3D3D"/>
          <w:kern w:val="0"/>
          <w:szCs w:val="21"/>
          <w:u w:val="single"/>
        </w:rPr>
        <w:t>不保证本金和收益</w:t>
      </w:r>
      <w:r w:rsidRPr="00372C07">
        <w:rPr>
          <w:rFonts w:asciiTheme="minorEastAsia" w:eastAsiaTheme="minorEastAsia" w:hAnsiTheme="minorEastAsia" w:cs="宋体" w:hint="eastAsia"/>
          <w:b/>
          <w:color w:val="3D3D3D"/>
          <w:kern w:val="0"/>
          <w:szCs w:val="21"/>
        </w:rPr>
        <w:t>，您的本金与收益可能会蒙受重大损失，您应仔细阅读理财产品风险揭示书、理财产品说明书、投资者权益须知和理财产品协议条款；本理财产品最终收益率的实现将视市场情况等因素而定，您应该充分认识本产品的投资风险，敬请仔细判别，谨慎投资</w:t>
      </w:r>
      <w:r w:rsidRPr="00372C07">
        <w:rPr>
          <w:rFonts w:asciiTheme="minorEastAsia" w:eastAsiaTheme="minorEastAsia" w:hAnsiTheme="minorEastAsia" w:cs="宋体" w:hint="eastAsia"/>
          <w:color w:val="3D3D3D"/>
          <w:kern w:val="0"/>
          <w:szCs w:val="21"/>
        </w:rPr>
        <w:t>：</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第一条 理财产品共性风险提示和管控措施</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一）政策风险：当期理财产品是根据当前相关法规和政策设计的。理财产品在实际运作过程中，如遇到国家宏观政策和相关法律法规发生变化，影响理财产品的发行、投资和兑付等，可能影响理财产品的投资运作和到期收益，甚至本金损失。</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（二）信用风险：理财产品面临的信用风险主要是指因理财产品配置资产所涉及的相关债务主体到期未能履行还款义务，使理财产品本金或收益蒙受损失的风险。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银行针对理财产品配置资产的不同特征，采取了多种管理措施，针对有信用评级的固定收益产品，将其纳入银行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（三）市场风险：理财产品面临的市场风险主要指因市场各种风险因子变动，使得理财产品配置资产的价格发生波动，导致理财产品本金或收益蒙受损失的风险。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银行主要依托银行间市场交易平台，密切监控理财产品配置资产的交易情况，定期进行估值，如交易价格或成交量发生异动、重大事件发生时（债券发行人涉及亏损、诉讼等），及时采取相应措施，控制理财产品面临的市场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四）流动性风险：从理财产品资产配置的角度，流动性风险主要是指因理财产品所配置资产缺乏流动性，使得理财期末，无法以合理的价格及时将资产变现，导致理财产品本金或收益蒙受损失的风险；从投资者自身的角度，流动性风险是指投资者所投资理财产品为固定期限产品，以及投资者不可提前终止理财产品，当市场上出现更高收益的产品时，将有可能因此丧失其他投资机会；或当投资者急需流动性时，无法及时变现理财产品。</w:t>
      </w:r>
    </w:p>
    <w:p w:rsidR="00520105" w:rsidRPr="00372C07" w:rsidRDefault="00C65E80">
      <w:pPr>
        <w:widowControl/>
        <w:spacing w:line="200" w:lineRule="exact"/>
        <w:ind w:firstLine="27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从理财产品资产配置的角度，在理财产品成立期初，对理财产品及其所配置资产的存续期进行评估，对期限明显不匹配的理财产品评估较高的风险等级，并对理财产品所配置资产自身的流动性进行分析，对流动性较差的资产，将不予开展期限不匹配的投资，以控制流动性风险；在投资者方面，银行将充分提示投资者根据本理财产品期限，合理安排自身投资计划。</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（五）交易对手风险：理财产品面临的交易对手风险主要是指银行为理财产品配置资产的过程中，因交易对手交易失误等原因，导致理财产品本金或收益蒙受损失的风险。</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银行一方面在配置资产过程中严格选择信用水平较高的交易对手，另一方面参照同业统一授信的管理方式，加强对交易对手信用状况的跟踪调查，管理理财产品配置资产过程中的交易对手风险。</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（六）产品不成立风险：如果因募集规模低于理财说明书约定的最低规模（如有）或其它因素导致本产品不能成立的情形，投资者将面临再投资风险。</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（七）延期兑付风险：如因理财产品投资的资产无法及时变现等原因造成不能按时支付理财资金本金和收益，则投资者面临理财产品期限延期、调整等风险。</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（八）提前终止风险：在理财产品存续期内，银行有权根据市场变化情况提前终止本理财产品，一旦理财产品被提前终止，投资者可能面临再投资风险、本金和收益蒙受损失的风险。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九）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银行按照当期理财产品说明书有关条款的约定，发布当期理财产品的运作、到期清算或提前终止等信息公告。投资者应根据约定及时登陆银行网站（www.njcb.com.cn）或拨打银行24小时投资者热线95302查询，如果投资者未及时查询，或由于通信故障、系统故障以及其他不可抗力等因素的影响使得投资者无法及时了解产品信息，因此而产生的责任和风险由投资者自行承担。</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投资者预留在银行的有效联系方式进行变更的，应及时告知银行，如投资者未及时告知银行联系方式变更的，银行可能在需要时无法及时联系投资者，并可能会由此影响投资者的决策，由此产生的责任和风险由投资者自行承担。</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十）不可抗力风险：理财产品面临的不可抗力风险是指由于战争、重大自然灾害等不可抗力因素的出现，严重影响金融市场的正常运行，从而导致理财产品发行或运作受到干扰和破坏，甚至影响理财产品的受理、投资、兑付等事宜的正常进行，进而导致投资者蒙受损失的风险。由此产生的风险由投资者自行承担。</w:t>
      </w:r>
    </w:p>
    <w:p w:rsidR="00520105" w:rsidRPr="00372C07" w:rsidRDefault="00C65E80">
      <w:pPr>
        <w:widowControl/>
        <w:spacing w:line="200" w:lineRule="exact"/>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color w:val="3D3D3D"/>
          <w:kern w:val="0"/>
          <w:szCs w:val="21"/>
        </w:rPr>
        <w:t xml:space="preserve">　　第二条 本理财产品特定风险揭示</w:t>
      </w:r>
    </w:p>
    <w:p w:rsidR="00520105" w:rsidRPr="00372C07" w:rsidRDefault="00C65E80">
      <w:pPr>
        <w:widowControl/>
        <w:spacing w:line="200" w:lineRule="exact"/>
        <w:ind w:firstLine="260"/>
        <w:jc w:val="left"/>
        <w:rPr>
          <w:rFonts w:asciiTheme="minorEastAsia" w:eastAsiaTheme="minorEastAsia" w:hAnsiTheme="minorEastAsia" w:cs="宋体"/>
          <w:b/>
          <w:bCs/>
          <w:color w:val="3D3D3D"/>
          <w:kern w:val="0"/>
          <w:szCs w:val="21"/>
        </w:rPr>
      </w:pPr>
      <w:r w:rsidRPr="00372C07">
        <w:rPr>
          <w:rFonts w:asciiTheme="minorEastAsia" w:eastAsiaTheme="minorEastAsia" w:hAnsiTheme="minorEastAsia" w:cs="宋体" w:hint="eastAsia"/>
          <w:b/>
          <w:bCs/>
          <w:color w:val="3D3D3D"/>
          <w:kern w:val="0"/>
          <w:szCs w:val="21"/>
        </w:rPr>
        <w:t>本理财产品类型：非保本浮动收益型、开放式、固定收益类、公募；</w:t>
      </w:r>
    </w:p>
    <w:p w:rsidR="00520105" w:rsidRPr="00372C07" w:rsidRDefault="00C65E80">
      <w:pPr>
        <w:widowControl/>
        <w:spacing w:line="200" w:lineRule="exact"/>
        <w:ind w:firstLine="270"/>
        <w:jc w:val="left"/>
        <w:rPr>
          <w:rFonts w:asciiTheme="minorEastAsia" w:eastAsiaTheme="minorEastAsia" w:hAnsiTheme="minorEastAsia" w:cs="宋体"/>
          <w:b/>
          <w:bCs/>
          <w:color w:val="3D3D3D"/>
          <w:kern w:val="0"/>
          <w:szCs w:val="21"/>
        </w:rPr>
      </w:pPr>
      <w:r w:rsidRPr="00372C07">
        <w:rPr>
          <w:rFonts w:asciiTheme="minorEastAsia" w:eastAsiaTheme="minorEastAsia" w:hAnsiTheme="minorEastAsia" w:cs="宋体" w:hint="eastAsia"/>
          <w:b/>
          <w:color w:val="3D3D3D"/>
          <w:kern w:val="0"/>
          <w:szCs w:val="21"/>
        </w:rPr>
        <w:t>本理财产品期限为10年，封闭期后每个工作日开放，在封闭期内不能申购赎回。</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b/>
          <w:bCs/>
          <w:color w:val="3D3D3D"/>
          <w:kern w:val="0"/>
          <w:szCs w:val="21"/>
        </w:rPr>
        <w:t>本理财产品风险评级结果：</w:t>
      </w:r>
      <w:r w:rsidRPr="00372C07">
        <w:rPr>
          <w:rFonts w:asciiTheme="minorEastAsia" w:eastAsiaTheme="minorEastAsia" w:hAnsiTheme="minorEastAsia" w:cs="宋体" w:hint="eastAsia"/>
          <w:color w:val="3D3D3D"/>
          <w:kern w:val="0"/>
          <w:szCs w:val="21"/>
        </w:rPr>
        <w:t>根据本行理财产品内部风险评级，该产品风险等级为</w:t>
      </w:r>
      <w:r w:rsidRPr="00372C07">
        <w:rPr>
          <w:rFonts w:asciiTheme="minorEastAsia" w:eastAsiaTheme="minorEastAsia" w:hAnsiTheme="minorEastAsia" w:cs="宋体" w:hint="eastAsia"/>
          <w:b/>
          <w:bCs/>
          <w:color w:val="3D3D3D"/>
          <w:kern w:val="0"/>
          <w:szCs w:val="21"/>
        </w:rPr>
        <w:t>中低级</w:t>
      </w:r>
      <w:r w:rsidRPr="00372C07">
        <w:rPr>
          <w:rFonts w:asciiTheme="minorEastAsia" w:eastAsiaTheme="minorEastAsia" w:hAnsiTheme="minorEastAsia" w:cs="宋体" w:hint="eastAsia"/>
          <w:color w:val="3D3D3D"/>
          <w:kern w:val="0"/>
          <w:szCs w:val="21"/>
        </w:rPr>
        <w:t>（本风险等级为本行内部风险评级结果，仅供参考）；</w:t>
      </w:r>
      <w:r w:rsidRPr="00372C07">
        <w:rPr>
          <w:rFonts w:asciiTheme="minorEastAsia" w:eastAsiaTheme="minorEastAsia" w:hAnsiTheme="minorEastAsia" w:cs="宋体" w:hint="eastAsia"/>
          <w:b/>
          <w:bCs/>
          <w:color w:val="3D3D3D"/>
          <w:kern w:val="0"/>
          <w:szCs w:val="21"/>
        </w:rPr>
        <w:t>适合购买本理财产品的投资者：</w:t>
      </w:r>
      <w:r w:rsidRPr="00372C07">
        <w:rPr>
          <w:rFonts w:asciiTheme="minorEastAsia" w:eastAsiaTheme="minorEastAsia" w:hAnsiTheme="minorEastAsia" w:cs="宋体" w:hint="eastAsia"/>
          <w:color w:val="3D3D3D"/>
          <w:kern w:val="0"/>
          <w:szCs w:val="21"/>
        </w:rPr>
        <w:t>本理财产品适合风险承受能力为</w:t>
      </w:r>
      <w:r w:rsidRPr="00372C07">
        <w:rPr>
          <w:rFonts w:asciiTheme="minorEastAsia" w:eastAsiaTheme="minorEastAsia" w:hAnsiTheme="minorEastAsia" w:cs="宋体" w:hint="eastAsia"/>
          <w:b/>
          <w:bCs/>
          <w:color w:val="3D3D3D"/>
          <w:kern w:val="0"/>
          <w:szCs w:val="21"/>
        </w:rPr>
        <w:t>中低级及以上</w:t>
      </w:r>
      <w:r w:rsidRPr="00372C07">
        <w:rPr>
          <w:rFonts w:asciiTheme="minorEastAsia" w:eastAsiaTheme="minorEastAsia" w:hAnsiTheme="minorEastAsia" w:cs="宋体" w:hint="eastAsia"/>
          <w:color w:val="3D3D3D"/>
          <w:kern w:val="0"/>
          <w:szCs w:val="21"/>
        </w:rPr>
        <w:t>（风险评级仅针对个人投资者）的个人和机构投资者购买。</w:t>
      </w:r>
    </w:p>
    <w:p w:rsidR="00520105" w:rsidRPr="00372C07" w:rsidRDefault="00C65E80">
      <w:pPr>
        <w:widowControl/>
        <w:spacing w:line="200" w:lineRule="exact"/>
        <w:ind w:firstLine="26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cs="宋体" w:hint="eastAsia"/>
          <w:b/>
          <w:bCs/>
          <w:color w:val="3D3D3D"/>
          <w:kern w:val="0"/>
          <w:szCs w:val="21"/>
        </w:rPr>
        <w:t>最不利投资情形下的投资结果：若投资者认购本理财产品，最不利情况下，投资组合内所有资产均发生以上所述的风险事件，且投资组合内所有资产均发生全额损失，则投资者到期收到款项为0，即投资者面临全部本金与收益的损失。为保证当期理财投资者权益而产生的费用由当期理财产品承担。</w:t>
      </w:r>
    </w:p>
    <w:p w:rsidR="00AC4F4E" w:rsidRPr="00372C07" w:rsidRDefault="00AC4F4E" w:rsidP="00AC4F4E">
      <w:pPr>
        <w:ind w:firstLine="382"/>
        <w:jc w:val="center"/>
        <w:rPr>
          <w:rFonts w:asciiTheme="minorEastAsia" w:eastAsiaTheme="minorEastAsia" w:hAnsiTheme="minorEastAsia"/>
          <w:b/>
          <w:bCs/>
          <w:szCs w:val="21"/>
          <w:u w:val="single"/>
        </w:rPr>
      </w:pPr>
      <w:r w:rsidRPr="00372C07">
        <w:rPr>
          <w:rFonts w:asciiTheme="minorEastAsia" w:eastAsiaTheme="minorEastAsia" w:hAnsiTheme="minorEastAsia" w:hint="eastAsia"/>
          <w:b/>
          <w:bCs/>
          <w:szCs w:val="21"/>
          <w:u w:val="single"/>
        </w:rPr>
        <w:t>上述风险客观存在，敬请投资人予以充分关注！</w:t>
      </w:r>
    </w:p>
    <w:p w:rsidR="00AC4F4E" w:rsidRPr="00372C07" w:rsidRDefault="00AC4F4E" w:rsidP="00AC4F4E">
      <w:pPr>
        <w:pStyle w:val="Default"/>
        <w:jc w:val="both"/>
        <w:rPr>
          <w:rFonts w:asciiTheme="minorEastAsia" w:eastAsiaTheme="minorEastAsia" w:hAnsiTheme="minorEastAsia"/>
          <w:b/>
          <w:bCs/>
          <w:color w:val="auto"/>
          <w:spacing w:val="-5"/>
          <w:sz w:val="21"/>
          <w:szCs w:val="21"/>
        </w:rPr>
      </w:pPr>
      <w:r w:rsidRPr="00372C07">
        <w:rPr>
          <w:rFonts w:asciiTheme="minorEastAsia" w:eastAsiaTheme="minorEastAsia" w:hAnsiTheme="minorEastAsia" w:hint="eastAsia"/>
          <w:b/>
          <w:bCs/>
          <w:color w:val="auto"/>
          <w:spacing w:val="-5"/>
          <w:sz w:val="21"/>
          <w:szCs w:val="21"/>
        </w:rPr>
        <w:t>投资人声明</w:t>
      </w:r>
    </w:p>
    <w:p w:rsidR="00AC4F4E" w:rsidRPr="00372C07" w:rsidRDefault="00AC4F4E" w:rsidP="00372C07">
      <w:pPr>
        <w:ind w:firstLineChars="200" w:firstLine="422"/>
        <w:rPr>
          <w:rFonts w:asciiTheme="minorEastAsia" w:eastAsiaTheme="minorEastAsia" w:hAnsiTheme="minorEastAsia"/>
          <w:bCs/>
          <w:color w:val="000000"/>
          <w:szCs w:val="21"/>
        </w:rPr>
      </w:pPr>
      <w:r w:rsidRPr="00372C07">
        <w:rPr>
          <w:rFonts w:asciiTheme="minorEastAsia" w:eastAsiaTheme="minorEastAsia" w:hAnsiTheme="minorEastAsia" w:hint="eastAsia"/>
          <w:b/>
          <w:bCs/>
          <w:szCs w:val="21"/>
        </w:rPr>
        <w:t>投资人在签署</w:t>
      </w:r>
      <w:r w:rsidRPr="00372C07">
        <w:rPr>
          <w:rFonts w:asciiTheme="minorEastAsia" w:eastAsiaTheme="minorEastAsia" w:hAnsiTheme="minorEastAsia" w:hint="eastAsia"/>
          <w:bCs/>
          <w:color w:val="000000"/>
          <w:szCs w:val="21"/>
        </w:rPr>
        <w:t>本理财产品销售文件前已阅读</w:t>
      </w:r>
      <w:r w:rsidRPr="00372C07">
        <w:rPr>
          <w:rFonts w:asciiTheme="minorEastAsia" w:eastAsiaTheme="minorEastAsia" w:hAnsiTheme="minorEastAsia" w:hint="eastAsia"/>
          <w:b/>
          <w:bCs/>
          <w:szCs w:val="21"/>
        </w:rPr>
        <w:t>理财产品风险揭示</w:t>
      </w:r>
      <w:r w:rsidRPr="00372C07">
        <w:rPr>
          <w:rFonts w:asciiTheme="minorEastAsia" w:eastAsiaTheme="minorEastAsia" w:hAnsiTheme="minorEastAsia" w:hint="eastAsia"/>
          <w:bCs/>
          <w:color w:val="000000"/>
          <w:szCs w:val="21"/>
        </w:rPr>
        <w:t>书</w:t>
      </w:r>
      <w:r w:rsidRPr="00372C07">
        <w:rPr>
          <w:rFonts w:asciiTheme="minorEastAsia" w:eastAsiaTheme="minorEastAsia" w:hAnsiTheme="minorEastAsia" w:hint="eastAsia"/>
          <w:b/>
          <w:bCs/>
          <w:szCs w:val="21"/>
        </w:rPr>
        <w:t>，充分了解并知</w:t>
      </w:r>
      <w:r w:rsidRPr="00372C07">
        <w:rPr>
          <w:rFonts w:asciiTheme="minorEastAsia" w:eastAsiaTheme="minorEastAsia" w:hAnsiTheme="minorEastAsia" w:hint="eastAsia"/>
          <w:bCs/>
          <w:color w:val="000000"/>
          <w:szCs w:val="21"/>
        </w:rPr>
        <w:t>晓本理财产品的风险，自愿承担相关风险，并授权南京</w:t>
      </w:r>
      <w:r w:rsidRPr="00372C07">
        <w:rPr>
          <w:rFonts w:asciiTheme="minorEastAsia" w:eastAsiaTheme="minorEastAsia" w:hAnsiTheme="minorEastAsia" w:hint="eastAsia"/>
          <w:b/>
          <w:bCs/>
          <w:szCs w:val="21"/>
        </w:rPr>
        <w:t>银行根据本理财</w:t>
      </w:r>
      <w:r w:rsidRPr="00372C07">
        <w:rPr>
          <w:rFonts w:asciiTheme="minorEastAsia" w:eastAsiaTheme="minorEastAsia" w:hAnsiTheme="minorEastAsia" w:hint="eastAsia"/>
          <w:bCs/>
          <w:color w:val="000000"/>
          <w:szCs w:val="21"/>
        </w:rPr>
        <w:t>产品销售文件所示</w:t>
      </w:r>
      <w:r w:rsidRPr="00372C07">
        <w:rPr>
          <w:rFonts w:asciiTheme="minorEastAsia" w:eastAsiaTheme="minorEastAsia" w:hAnsiTheme="minorEastAsia" w:hint="eastAsia"/>
          <w:b/>
          <w:bCs/>
          <w:szCs w:val="21"/>
        </w:rPr>
        <w:t>方案进行投资。</w:t>
      </w:r>
    </w:p>
    <w:p w:rsidR="00AC4F4E" w:rsidRPr="00372C07" w:rsidRDefault="00AC4F4E" w:rsidP="00AC4F4E">
      <w:pPr>
        <w:pStyle w:val="a7"/>
        <w:spacing w:before="0" w:after="0" w:line="200" w:lineRule="exact"/>
        <w:jc w:val="center"/>
        <w:rPr>
          <w:rFonts w:asciiTheme="minorEastAsia" w:eastAsiaTheme="minorEastAsia" w:hAnsiTheme="minorEastAsia"/>
          <w:sz w:val="21"/>
          <w:szCs w:val="21"/>
        </w:rPr>
      </w:pPr>
    </w:p>
    <w:p w:rsidR="00AC4F4E" w:rsidRPr="00372C07" w:rsidRDefault="00AC4F4E" w:rsidP="00AC4F4E">
      <w:pPr>
        <w:pStyle w:val="a7"/>
        <w:spacing w:before="0" w:after="0" w:line="200" w:lineRule="exact"/>
        <w:jc w:val="center"/>
        <w:rPr>
          <w:rFonts w:asciiTheme="minorEastAsia" w:eastAsiaTheme="minorEastAsia" w:hAnsiTheme="minorEastAsia"/>
          <w:sz w:val="21"/>
          <w:szCs w:val="21"/>
        </w:rPr>
      </w:pPr>
    </w:p>
    <w:p w:rsidR="00AC4F4E" w:rsidRPr="00372C07" w:rsidRDefault="00AC4F4E" w:rsidP="00AC4F4E">
      <w:pPr>
        <w:pStyle w:val="a7"/>
        <w:spacing w:before="0" w:after="0" w:line="200" w:lineRule="exact"/>
        <w:jc w:val="center"/>
        <w:rPr>
          <w:rFonts w:asciiTheme="minorEastAsia" w:eastAsiaTheme="minorEastAsia" w:hAnsiTheme="minorEastAsia"/>
          <w:sz w:val="21"/>
          <w:szCs w:val="21"/>
        </w:rPr>
      </w:pPr>
    </w:p>
    <w:p w:rsidR="00520105" w:rsidRPr="00372C07" w:rsidRDefault="00AC4F4E" w:rsidP="00372C07">
      <w:pPr>
        <w:widowControl/>
        <w:spacing w:line="200" w:lineRule="exact"/>
        <w:ind w:firstLineChars="1800" w:firstLine="3780"/>
        <w:jc w:val="left"/>
        <w:rPr>
          <w:rFonts w:asciiTheme="minorEastAsia" w:eastAsiaTheme="minorEastAsia" w:hAnsiTheme="minorEastAsia" w:cs="宋体"/>
          <w:color w:val="3D3D3D"/>
          <w:kern w:val="0"/>
          <w:szCs w:val="21"/>
        </w:rPr>
      </w:pPr>
      <w:r w:rsidRPr="00372C07">
        <w:rPr>
          <w:rFonts w:asciiTheme="minorEastAsia" w:eastAsiaTheme="minorEastAsia" w:hAnsiTheme="minorEastAsia" w:hint="eastAsia"/>
          <w:szCs w:val="21"/>
        </w:rPr>
        <w:t>投资人（公章）</w:t>
      </w:r>
      <w:r w:rsidRPr="00372C07">
        <w:rPr>
          <w:rFonts w:asciiTheme="minorEastAsia" w:eastAsiaTheme="minorEastAsia" w:hAnsiTheme="minorEastAsia" w:hint="eastAsia"/>
          <w:szCs w:val="21"/>
          <w:u w:val="single"/>
        </w:rPr>
        <w:t xml:space="preserve"> ：                  </w:t>
      </w:r>
      <w:r w:rsidRPr="00372C07">
        <w:rPr>
          <w:rFonts w:asciiTheme="minorEastAsia" w:eastAsiaTheme="minorEastAsia" w:hAnsiTheme="minorEastAsia" w:hint="eastAsia"/>
          <w:szCs w:val="21"/>
        </w:rPr>
        <w:t xml:space="preserve">    年    月    日</w:t>
      </w:r>
    </w:p>
    <w:p w:rsidR="00520105" w:rsidRPr="00372C07" w:rsidRDefault="00520105" w:rsidP="00372C07">
      <w:pPr>
        <w:widowControl/>
        <w:spacing w:line="200" w:lineRule="exact"/>
        <w:ind w:firstLineChars="1800" w:firstLine="3780"/>
        <w:jc w:val="left"/>
        <w:rPr>
          <w:rFonts w:asciiTheme="minorEastAsia" w:eastAsiaTheme="minorEastAsia" w:hAnsiTheme="minorEastAsia" w:cs="宋体"/>
          <w:color w:val="3D3D3D"/>
          <w:kern w:val="0"/>
          <w:szCs w:val="21"/>
        </w:rPr>
      </w:pPr>
    </w:p>
    <w:p w:rsidR="00267762" w:rsidRDefault="00267762" w:rsidP="00267762">
      <w:pPr>
        <w:spacing w:line="0" w:lineRule="atLeast"/>
        <w:jc w:val="center"/>
        <w:rPr>
          <w:rFonts w:ascii="黑体" w:eastAsia="黑体" w:hAnsi="宋体"/>
          <w:b/>
          <w:bCs/>
          <w:kern w:val="0"/>
          <w:sz w:val="24"/>
          <w:szCs w:val="15"/>
        </w:rPr>
      </w:pPr>
      <w:r>
        <w:rPr>
          <w:rFonts w:ascii="黑体" w:eastAsia="黑体" w:hAnsi="宋体" w:hint="eastAsia"/>
          <w:b/>
          <w:bCs/>
          <w:kern w:val="0"/>
          <w:sz w:val="24"/>
          <w:szCs w:val="15"/>
        </w:rPr>
        <w:lastRenderedPageBreak/>
        <w:t>理财产品说明书</w:t>
      </w:r>
    </w:p>
    <w:p w:rsidR="00267762" w:rsidRDefault="00267762" w:rsidP="00267762">
      <w:pPr>
        <w:spacing w:line="0" w:lineRule="atLeast"/>
        <w:jc w:val="center"/>
        <w:rPr>
          <w:rFonts w:ascii="黑体" w:eastAsia="黑体" w:hAnsi="黑体"/>
          <w:color w:val="3D3D3D"/>
          <w:sz w:val="20"/>
          <w:szCs w:val="18"/>
        </w:rPr>
      </w:pPr>
      <w:r>
        <w:rPr>
          <w:rFonts w:ascii="黑体" w:eastAsia="黑体" w:hAnsi="宋体" w:hint="eastAsia"/>
          <w:b/>
          <w:bCs/>
          <w:i/>
          <w:kern w:val="0"/>
          <w:sz w:val="24"/>
          <w:szCs w:val="15"/>
          <w:u w:val="single"/>
        </w:rPr>
        <w:t>“理财非存款、产品有风险、投资须谨慎”！</w:t>
      </w:r>
    </w:p>
    <w:p w:rsidR="00267762" w:rsidRDefault="00267762" w:rsidP="00267762">
      <w:pPr>
        <w:widowControl/>
        <w:spacing w:line="200" w:lineRule="exact"/>
        <w:ind w:firstLineChars="200" w:firstLine="300"/>
        <w:jc w:val="left"/>
      </w:pPr>
      <w:r>
        <w:rPr>
          <w:rFonts w:ascii="宋体" w:hAnsi="宋体" w:cs="宋体" w:hint="eastAsia"/>
          <w:color w:val="3D3D3D"/>
          <w:kern w:val="0"/>
          <w:sz w:val="15"/>
          <w:szCs w:val="15"/>
        </w:rPr>
        <w:t>第一条 产品基本要素</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9"/>
        <w:gridCol w:w="7502"/>
      </w:tblGrid>
      <w:tr w:rsidR="00267762" w:rsidTr="002A4679">
        <w:trPr>
          <w:trHeight w:val="146"/>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产品名称</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南京银行珠联璧合日日聚宝现金管理类公募人民币理财产品</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产品类型</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b/>
                <w:bCs/>
                <w:kern w:val="0"/>
                <w:sz w:val="16"/>
                <w:szCs w:val="16"/>
              </w:rPr>
              <w:t>开放式、固定收益类、公募</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收益类型</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非保本浮动收益型</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募集方式</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向不特定社会公众公开募集</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理财产品代码</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ZC108691944643</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产品登记编码</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C1086919000018（投资者可依据该编码在中国理财网www.chinawealth.com.cn查询理财产品相关信息）</w:t>
            </w:r>
          </w:p>
        </w:tc>
      </w:tr>
      <w:tr w:rsidR="00267762" w:rsidTr="002A4679">
        <w:trPr>
          <w:trHeight w:val="90"/>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内部销售代码</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A20002</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理财存续期</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10年（银行有权提前终止）</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销售区域</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全国</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运作规模上限</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300亿（因收益分配导致产品规模超过运作规模上限的除外）</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（银行有权对上述规模上限根据实际业务需求在银行网站（www.njcb.com.cn）进行公告调整。）</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理财币种</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人民币</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风险等级</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根据本行理财产品内部风险评估，该产品风险等级为</w:t>
            </w:r>
            <w:r>
              <w:rPr>
                <w:rFonts w:ascii="宋体" w:hAnsi="宋体" w:cs="宋体" w:hint="eastAsia"/>
                <w:b/>
                <w:bCs/>
                <w:kern w:val="0"/>
                <w:sz w:val="16"/>
                <w:szCs w:val="16"/>
              </w:rPr>
              <w:t>中低级</w:t>
            </w:r>
            <w:r>
              <w:rPr>
                <w:rFonts w:ascii="宋体" w:hAnsi="宋体" w:cs="宋体" w:hint="eastAsia"/>
                <w:kern w:val="0"/>
                <w:sz w:val="16"/>
                <w:szCs w:val="16"/>
              </w:rPr>
              <w:t>（本风险等级为本行内部风险评估结果，仅供参考）</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发行对象</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适合风险承受能力为</w:t>
            </w:r>
            <w:r>
              <w:rPr>
                <w:rFonts w:ascii="宋体" w:hAnsi="宋体" w:cs="宋体" w:hint="eastAsia"/>
                <w:b/>
                <w:bCs/>
                <w:kern w:val="0"/>
                <w:sz w:val="16"/>
                <w:szCs w:val="16"/>
              </w:rPr>
              <w:t>中低级及以上</w:t>
            </w:r>
            <w:r>
              <w:rPr>
                <w:rFonts w:ascii="宋体" w:hAnsi="宋体" w:cs="宋体" w:hint="eastAsia"/>
                <w:kern w:val="0"/>
                <w:sz w:val="16"/>
                <w:szCs w:val="16"/>
              </w:rPr>
              <w:t>（风险评级仅针对个人投资者）的个人和机构投资者购买。</w:t>
            </w:r>
          </w:p>
        </w:tc>
      </w:tr>
      <w:tr w:rsidR="00267762" w:rsidTr="002A4679">
        <w:trPr>
          <w:trHeight w:val="381"/>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理财认购期/募集期</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2019年10月16日-2019年10月21日（银行有权根据市场变化情况缩短或延长发行期并提前或推迟成立，产品提前或推迟成立时银行将调整相关日期并进行信息披露。）</w:t>
            </w:r>
          </w:p>
        </w:tc>
      </w:tr>
      <w:tr w:rsidR="00267762" w:rsidTr="002A4679">
        <w:trPr>
          <w:trHeight w:val="381"/>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认购时间</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2019年10月16日8：30-2019年10月21日15:30</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认购确认日</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2019年10月21日</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产品成立日</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2019年10月22日</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理财存续期</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2019年10月22日-产品实际到期日（若本理财产品未被提前终止，则实际到期日即为名义到期日；若本理财产品被提前终止，则实际到期日为提前终止权行使日。）</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名义到期日</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2029年12月28日</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产品封闭期</w:t>
            </w:r>
          </w:p>
        </w:tc>
        <w:tc>
          <w:tcPr>
            <w:tcW w:w="7502" w:type="dxa"/>
            <w:vAlign w:val="center"/>
          </w:tcPr>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本产品募集成立后封闭运作30天（2019年10月22日-2019年11月21日），封闭期内不接受申购赎回。</w:t>
            </w:r>
          </w:p>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注：产品成立后因开户等原因可能会导致短期内无法进行部分资产的投资运作，为减轻因此对投资者收益的影响，故设置封闭期。</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产品开放日</w:t>
            </w:r>
          </w:p>
        </w:tc>
        <w:tc>
          <w:tcPr>
            <w:tcW w:w="7502" w:type="dxa"/>
            <w:vAlign w:val="center"/>
          </w:tcPr>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kern w:val="0"/>
                <w:sz w:val="16"/>
                <w:szCs w:val="16"/>
              </w:rPr>
              <w:t>封闭期结束后每个工作日为申购赎回开放日（银行公告暂停开放的日期除外）</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起点金额、递增金额</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起点金额为1万元人民币，以1000元的整数倍递增；</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后续在符合监管政策规定的条件下，银行有权对上述起点金额和递增金额进行调整。</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单个投资者份额上限</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本理财产品认购期不设置单个投资者份额上限，成立后单个投资者份额上限规则如下：</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单个个人投资者份额上限为1亿份（含收益分配的份额）；</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单个机构投资者份额上限为1亿份（含收益分配的份额）；</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（因收益分配导致份额被动超过上述份额上限的除外）</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注：该单个投资者份额上限银行有权进行调整或取消，并在调整或取消前至少3个工作日在银行网站（www.njcb.com.cn）进行公告。</w:t>
            </w:r>
          </w:p>
        </w:tc>
      </w:tr>
      <w:tr w:rsidR="00267762" w:rsidTr="002A4679">
        <w:trPr>
          <w:trHeight w:val="90"/>
          <w:jc w:val="center"/>
        </w:trPr>
        <w:tc>
          <w:tcPr>
            <w:tcW w:w="2159" w:type="dxa"/>
            <w:vAlign w:val="center"/>
          </w:tcPr>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申购</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申购价格=1元/份（在不发生本产品所提示的风险的前提下）；申购份额=确认申购金额</w:t>
            </w:r>
            <w:r>
              <w:rPr>
                <w:rFonts w:ascii="Arial" w:hAnsi="Arial" w:cs="Arial"/>
                <w:kern w:val="0"/>
                <w:sz w:val="16"/>
                <w:szCs w:val="16"/>
              </w:rPr>
              <w:t>÷</w:t>
            </w:r>
            <w:r>
              <w:rPr>
                <w:rFonts w:ascii="宋体" w:hAnsi="宋体" w:cs="宋体" w:hint="eastAsia"/>
                <w:kern w:val="0"/>
                <w:sz w:val="16"/>
                <w:szCs w:val="16"/>
              </w:rPr>
              <w:t>1。申购份额确认后可进行赎回操作。</w:t>
            </w:r>
          </w:p>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封闭期后每个工作日为申购开放日，具体申购规则如下：</w:t>
            </w:r>
          </w:p>
          <w:tbl>
            <w:tblPr>
              <w:tblStyle w:val="aa"/>
              <w:tblW w:w="6760" w:type="dxa"/>
              <w:jc w:val="center"/>
              <w:tblLayout w:type="fixed"/>
              <w:tblLook w:val="04A0"/>
            </w:tblPr>
            <w:tblGrid>
              <w:gridCol w:w="2478"/>
              <w:gridCol w:w="2043"/>
              <w:gridCol w:w="2239"/>
            </w:tblGrid>
            <w:tr w:rsidR="00267762" w:rsidTr="002A4679">
              <w:trPr>
                <w:trHeight w:val="333"/>
                <w:jc w:val="center"/>
              </w:trPr>
              <w:tc>
                <w:tcPr>
                  <w:tcW w:w="247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申购时间</w:t>
                  </w:r>
                </w:p>
              </w:tc>
              <w:tc>
                <w:tcPr>
                  <w:tcW w:w="2043"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申购受理日</w:t>
                  </w:r>
                </w:p>
              </w:tc>
              <w:tc>
                <w:tcPr>
                  <w:tcW w:w="2239"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申购确认日/收益起始日</w:t>
                  </w:r>
                </w:p>
              </w:tc>
            </w:tr>
            <w:tr w:rsidR="00267762" w:rsidTr="002A4679">
              <w:trPr>
                <w:trHeight w:val="299"/>
                <w:jc w:val="center"/>
              </w:trPr>
              <w:tc>
                <w:tcPr>
                  <w:tcW w:w="247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产品开放日：0:00-15:30</w:t>
                  </w:r>
                </w:p>
              </w:tc>
              <w:tc>
                <w:tcPr>
                  <w:tcW w:w="2043"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当日</w:t>
                  </w:r>
                </w:p>
              </w:tc>
              <w:tc>
                <w:tcPr>
                  <w:tcW w:w="2239"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下一产品开放日</w:t>
                  </w:r>
                </w:p>
              </w:tc>
            </w:tr>
            <w:tr w:rsidR="00267762" w:rsidTr="002A4679">
              <w:trPr>
                <w:trHeight w:val="315"/>
                <w:jc w:val="center"/>
              </w:trPr>
              <w:tc>
                <w:tcPr>
                  <w:tcW w:w="247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产品开放日：15:30-24:00</w:t>
                  </w:r>
                </w:p>
              </w:tc>
              <w:tc>
                <w:tcPr>
                  <w:tcW w:w="2043"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下一产品开放日</w:t>
                  </w:r>
                </w:p>
              </w:tc>
              <w:tc>
                <w:tcPr>
                  <w:tcW w:w="2239"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申购受理日次一开放日</w:t>
                  </w:r>
                </w:p>
              </w:tc>
            </w:tr>
            <w:tr w:rsidR="00267762" w:rsidTr="002A4679">
              <w:trPr>
                <w:trHeight w:val="296"/>
                <w:jc w:val="center"/>
              </w:trPr>
              <w:tc>
                <w:tcPr>
                  <w:tcW w:w="247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非开放日</w:t>
                  </w:r>
                </w:p>
              </w:tc>
              <w:tc>
                <w:tcPr>
                  <w:tcW w:w="2043" w:type="dxa"/>
                  <w:vAlign w:val="center"/>
                </w:tcPr>
                <w:p w:rsidR="00267762" w:rsidRDefault="00267762" w:rsidP="002A4679">
                  <w:pPr>
                    <w:widowControl/>
                    <w:spacing w:line="200" w:lineRule="exact"/>
                    <w:ind w:left="181" w:hangingChars="100" w:hanging="181"/>
                    <w:jc w:val="center"/>
                    <w:rPr>
                      <w:rFonts w:ascii="宋体" w:hAnsi="宋体" w:cs="宋体"/>
                      <w:b/>
                      <w:bCs/>
                      <w:kern w:val="0"/>
                      <w:sz w:val="18"/>
                      <w:szCs w:val="18"/>
                    </w:rPr>
                  </w:pPr>
                  <w:r>
                    <w:rPr>
                      <w:rFonts w:ascii="宋体" w:hAnsi="宋体" w:cs="宋体" w:hint="eastAsia"/>
                      <w:b/>
                      <w:bCs/>
                      <w:kern w:val="0"/>
                      <w:sz w:val="18"/>
                      <w:szCs w:val="18"/>
                    </w:rPr>
                    <w:t>非开放日次一开放日</w:t>
                  </w:r>
                </w:p>
              </w:tc>
              <w:tc>
                <w:tcPr>
                  <w:tcW w:w="2239" w:type="dxa"/>
                  <w:vAlign w:val="center"/>
                </w:tcPr>
                <w:p w:rsidR="00267762" w:rsidRDefault="00267762" w:rsidP="002A4679">
                  <w:pPr>
                    <w:widowControl/>
                    <w:spacing w:line="200" w:lineRule="exact"/>
                    <w:ind w:left="181" w:hangingChars="100" w:hanging="181"/>
                    <w:jc w:val="center"/>
                    <w:rPr>
                      <w:b/>
                      <w:bCs/>
                      <w:sz w:val="22"/>
                      <w:szCs w:val="28"/>
                    </w:rPr>
                  </w:pPr>
                  <w:r>
                    <w:rPr>
                      <w:rFonts w:ascii="宋体" w:hAnsi="宋体" w:cs="宋体" w:hint="eastAsia"/>
                      <w:b/>
                      <w:bCs/>
                      <w:kern w:val="0"/>
                      <w:sz w:val="18"/>
                      <w:szCs w:val="18"/>
                    </w:rPr>
                    <w:t>申购受理日次一开放日</w:t>
                  </w:r>
                </w:p>
              </w:tc>
            </w:tr>
          </w:tbl>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8"/>
                <w:szCs w:val="18"/>
              </w:rPr>
              <w:t xml:space="preserve"> 产品开放日15:30前的申购于下一产品开放日确认，其他时间的申购于申购日后第二个产品开放日确认。</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b/>
                <w:bCs/>
                <w:kern w:val="0"/>
                <w:sz w:val="16"/>
                <w:szCs w:val="16"/>
              </w:rPr>
              <w:t>注：系统批处理时间无法进行任何操作，届时系统将相应提示，系统批处理时间预计在0：00至3：00之间，如遇特殊情况延迟，敬请投资者注意。</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赎回</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赎回价格=1元/份（在不发生本产品所提示的风险的前提下）；赎回金额=赎回份额*1。赎回确认日当日起赎回份额不再享有收益分配权益（遇巨额赎回及暂停赎回或延缓支付赎回款项情形时，按相应条款处理）。</w:t>
            </w:r>
          </w:p>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封闭期后每个工作日为赎回开放日，具体赎回规则如下：</w:t>
            </w:r>
          </w:p>
          <w:tbl>
            <w:tblPr>
              <w:tblStyle w:val="aa"/>
              <w:tblW w:w="7139" w:type="dxa"/>
              <w:jc w:val="center"/>
              <w:tblLayout w:type="fixed"/>
              <w:tblLook w:val="04A0"/>
            </w:tblPr>
            <w:tblGrid>
              <w:gridCol w:w="1908"/>
              <w:gridCol w:w="1864"/>
              <w:gridCol w:w="2160"/>
              <w:gridCol w:w="1207"/>
            </w:tblGrid>
            <w:tr w:rsidR="00267762" w:rsidTr="002A4679">
              <w:trPr>
                <w:trHeight w:val="406"/>
                <w:jc w:val="center"/>
              </w:trPr>
              <w:tc>
                <w:tcPr>
                  <w:tcW w:w="190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赎回时间</w:t>
                  </w:r>
                </w:p>
              </w:tc>
              <w:tc>
                <w:tcPr>
                  <w:tcW w:w="1864"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赎回受理日</w:t>
                  </w:r>
                </w:p>
              </w:tc>
              <w:tc>
                <w:tcPr>
                  <w:tcW w:w="2160"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赎回确认日</w:t>
                  </w:r>
                </w:p>
              </w:tc>
              <w:tc>
                <w:tcPr>
                  <w:tcW w:w="1207"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资金到账日</w:t>
                  </w:r>
                </w:p>
              </w:tc>
            </w:tr>
            <w:tr w:rsidR="00267762" w:rsidTr="002A4679">
              <w:trPr>
                <w:trHeight w:val="541"/>
                <w:jc w:val="center"/>
              </w:trPr>
              <w:tc>
                <w:tcPr>
                  <w:tcW w:w="190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产品开放日：0:00-15:30</w:t>
                  </w:r>
                </w:p>
              </w:tc>
              <w:tc>
                <w:tcPr>
                  <w:tcW w:w="1864"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当日</w:t>
                  </w:r>
                </w:p>
              </w:tc>
              <w:tc>
                <w:tcPr>
                  <w:tcW w:w="2160"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下一产品开放日</w:t>
                  </w:r>
                </w:p>
              </w:tc>
              <w:tc>
                <w:tcPr>
                  <w:tcW w:w="1207" w:type="dxa"/>
                  <w:vMerge w:val="restart"/>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赎回确认日后三个工作日内</w:t>
                  </w:r>
                </w:p>
              </w:tc>
            </w:tr>
            <w:tr w:rsidR="00267762" w:rsidTr="002A4679">
              <w:trPr>
                <w:trHeight w:val="486"/>
                <w:jc w:val="center"/>
              </w:trPr>
              <w:tc>
                <w:tcPr>
                  <w:tcW w:w="190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产品开放日：15:30-24:00</w:t>
                  </w:r>
                </w:p>
              </w:tc>
              <w:tc>
                <w:tcPr>
                  <w:tcW w:w="1864"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下一产品开放日</w:t>
                  </w:r>
                </w:p>
              </w:tc>
              <w:tc>
                <w:tcPr>
                  <w:tcW w:w="2160"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赎回受理日次一开放日</w:t>
                  </w:r>
                </w:p>
              </w:tc>
              <w:tc>
                <w:tcPr>
                  <w:tcW w:w="1207" w:type="dxa"/>
                  <w:vMerge/>
                  <w:vAlign w:val="center"/>
                </w:tcPr>
                <w:p w:rsidR="00267762" w:rsidRDefault="00267762" w:rsidP="002A4679">
                  <w:pPr>
                    <w:widowControl/>
                    <w:spacing w:line="200" w:lineRule="exact"/>
                    <w:jc w:val="center"/>
                    <w:rPr>
                      <w:b/>
                      <w:bCs/>
                      <w:sz w:val="22"/>
                      <w:szCs w:val="28"/>
                    </w:rPr>
                  </w:pPr>
                </w:p>
              </w:tc>
            </w:tr>
            <w:tr w:rsidR="00267762" w:rsidTr="002A4679">
              <w:trPr>
                <w:trHeight w:val="382"/>
                <w:jc w:val="center"/>
              </w:trPr>
              <w:tc>
                <w:tcPr>
                  <w:tcW w:w="1908"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非开放日</w:t>
                  </w:r>
                </w:p>
              </w:tc>
              <w:tc>
                <w:tcPr>
                  <w:tcW w:w="1864" w:type="dxa"/>
                  <w:vAlign w:val="center"/>
                </w:tcPr>
                <w:p w:rsidR="00267762" w:rsidRDefault="00267762" w:rsidP="002A4679">
                  <w:pPr>
                    <w:widowControl/>
                    <w:spacing w:line="200" w:lineRule="exact"/>
                    <w:jc w:val="center"/>
                    <w:rPr>
                      <w:rFonts w:ascii="宋体" w:hAnsi="宋体" w:cs="宋体"/>
                      <w:b/>
                      <w:bCs/>
                      <w:kern w:val="0"/>
                      <w:sz w:val="18"/>
                      <w:szCs w:val="18"/>
                    </w:rPr>
                  </w:pPr>
                  <w:r>
                    <w:rPr>
                      <w:rFonts w:ascii="宋体" w:hAnsi="宋体" w:cs="宋体" w:hint="eastAsia"/>
                      <w:b/>
                      <w:bCs/>
                      <w:kern w:val="0"/>
                      <w:sz w:val="18"/>
                      <w:szCs w:val="18"/>
                    </w:rPr>
                    <w:t>非开放日次一开放日</w:t>
                  </w:r>
                </w:p>
              </w:tc>
              <w:tc>
                <w:tcPr>
                  <w:tcW w:w="2160" w:type="dxa"/>
                  <w:vAlign w:val="center"/>
                </w:tcPr>
                <w:p w:rsidR="00267762" w:rsidRDefault="00267762" w:rsidP="002A4679">
                  <w:pPr>
                    <w:widowControl/>
                    <w:spacing w:line="200" w:lineRule="exact"/>
                    <w:jc w:val="center"/>
                    <w:rPr>
                      <w:b/>
                      <w:bCs/>
                      <w:sz w:val="22"/>
                      <w:szCs w:val="28"/>
                    </w:rPr>
                  </w:pPr>
                  <w:r>
                    <w:rPr>
                      <w:rFonts w:ascii="宋体" w:hAnsi="宋体" w:cs="宋体" w:hint="eastAsia"/>
                      <w:b/>
                      <w:bCs/>
                      <w:kern w:val="0"/>
                      <w:sz w:val="18"/>
                      <w:szCs w:val="18"/>
                    </w:rPr>
                    <w:t>赎回受理日次一开放日</w:t>
                  </w:r>
                </w:p>
              </w:tc>
              <w:tc>
                <w:tcPr>
                  <w:tcW w:w="1207" w:type="dxa"/>
                  <w:vMerge/>
                  <w:vAlign w:val="center"/>
                </w:tcPr>
                <w:p w:rsidR="00267762" w:rsidRDefault="00267762" w:rsidP="002A4679">
                  <w:pPr>
                    <w:widowControl/>
                    <w:spacing w:line="200" w:lineRule="exact"/>
                    <w:jc w:val="center"/>
                    <w:rPr>
                      <w:b/>
                      <w:bCs/>
                      <w:sz w:val="22"/>
                      <w:szCs w:val="28"/>
                    </w:rPr>
                  </w:pPr>
                </w:p>
              </w:tc>
            </w:tr>
          </w:tbl>
          <w:p w:rsidR="00267762" w:rsidRDefault="00267762" w:rsidP="002A4679">
            <w:pPr>
              <w:widowControl/>
              <w:spacing w:line="200" w:lineRule="exact"/>
              <w:ind w:firstLineChars="200" w:firstLine="361"/>
              <w:jc w:val="left"/>
              <w:rPr>
                <w:rFonts w:ascii="宋体" w:hAnsi="宋体" w:cs="宋体"/>
                <w:b/>
                <w:bCs/>
                <w:kern w:val="0"/>
                <w:sz w:val="20"/>
                <w:szCs w:val="20"/>
              </w:rPr>
            </w:pPr>
            <w:r>
              <w:rPr>
                <w:rFonts w:ascii="宋体" w:hAnsi="宋体" w:cs="宋体" w:hint="eastAsia"/>
                <w:b/>
                <w:bCs/>
                <w:kern w:val="0"/>
                <w:sz w:val="18"/>
                <w:szCs w:val="18"/>
              </w:rPr>
              <w:t>产品开放日15:30前的赎回于下一产品开放日确认，其他时间的赎回于赎回日后第二个产品开放日确认。赎回资金将于赎回确认日后三个工作日内到账。</w:t>
            </w:r>
          </w:p>
          <w:p w:rsidR="00267762" w:rsidRDefault="00267762" w:rsidP="002A4679">
            <w:pPr>
              <w:widowControl/>
              <w:spacing w:line="200" w:lineRule="exact"/>
              <w:jc w:val="left"/>
              <w:rPr>
                <w:rFonts w:ascii="宋体" w:hAnsi="宋体" w:cs="宋体"/>
                <w:b/>
                <w:bCs/>
                <w:kern w:val="0"/>
                <w:sz w:val="16"/>
                <w:szCs w:val="16"/>
              </w:rPr>
            </w:pPr>
            <w:r>
              <w:rPr>
                <w:rFonts w:ascii="宋体" w:hAnsi="宋体" w:cs="宋体" w:hint="eastAsia"/>
                <w:b/>
                <w:bCs/>
                <w:kern w:val="0"/>
                <w:sz w:val="16"/>
                <w:szCs w:val="16"/>
              </w:rPr>
              <w:t>注：</w:t>
            </w:r>
          </w:p>
          <w:p w:rsidR="00267762" w:rsidRDefault="00267762" w:rsidP="00267762">
            <w:pPr>
              <w:widowControl/>
              <w:numPr>
                <w:ilvl w:val="0"/>
                <w:numId w:val="2"/>
              </w:numPr>
              <w:spacing w:line="200" w:lineRule="exact"/>
              <w:jc w:val="left"/>
              <w:rPr>
                <w:rFonts w:ascii="宋体" w:hAnsi="宋体" w:cs="宋体"/>
                <w:b/>
                <w:bCs/>
                <w:kern w:val="0"/>
                <w:sz w:val="16"/>
                <w:szCs w:val="16"/>
              </w:rPr>
            </w:pPr>
            <w:r>
              <w:rPr>
                <w:rFonts w:ascii="宋体" w:hAnsi="宋体" w:cs="宋体" w:hint="eastAsia"/>
                <w:b/>
                <w:bCs/>
                <w:kern w:val="0"/>
                <w:sz w:val="16"/>
                <w:szCs w:val="16"/>
              </w:rPr>
              <w:t>系统批处理时间无法进行任何操作，届时系统将相应提示，系统批处理时间预计在0：00至3：00之</w:t>
            </w:r>
            <w:r>
              <w:rPr>
                <w:rFonts w:ascii="宋体" w:hAnsi="宋体" w:cs="宋体" w:hint="eastAsia"/>
                <w:b/>
                <w:bCs/>
                <w:kern w:val="0"/>
                <w:sz w:val="16"/>
                <w:szCs w:val="16"/>
              </w:rPr>
              <w:lastRenderedPageBreak/>
              <w:t>间，如遇特殊情况延迟，敬请投资者注意；</w:t>
            </w:r>
          </w:p>
          <w:p w:rsidR="00267762" w:rsidRDefault="00267762" w:rsidP="00267762">
            <w:pPr>
              <w:widowControl/>
              <w:numPr>
                <w:ilvl w:val="0"/>
                <w:numId w:val="2"/>
              </w:numPr>
              <w:spacing w:line="200" w:lineRule="exact"/>
              <w:jc w:val="left"/>
              <w:rPr>
                <w:rFonts w:ascii="宋体" w:hAnsi="宋体" w:cs="宋体"/>
                <w:b/>
                <w:bCs/>
                <w:kern w:val="0"/>
                <w:sz w:val="16"/>
                <w:szCs w:val="16"/>
              </w:rPr>
            </w:pPr>
            <w:r>
              <w:rPr>
                <w:rFonts w:ascii="宋体" w:hAnsi="宋体" w:cs="宋体" w:hint="eastAsia"/>
                <w:b/>
                <w:bCs/>
                <w:kern w:val="0"/>
                <w:sz w:val="16"/>
                <w:szCs w:val="16"/>
              </w:rPr>
              <w:t>单个投资者赎回的份额在赎回受理日仍参与产品运作，产生的当日收益将结转份额，并计入下一工作日的投资者份额中，而不会随该赎回份额对应的赎回款项一并到账；</w:t>
            </w:r>
          </w:p>
          <w:p w:rsidR="00267762" w:rsidRDefault="00267762" w:rsidP="00267762">
            <w:pPr>
              <w:widowControl/>
              <w:numPr>
                <w:ilvl w:val="0"/>
                <w:numId w:val="2"/>
              </w:numPr>
              <w:spacing w:line="200" w:lineRule="exact"/>
              <w:jc w:val="left"/>
              <w:rPr>
                <w:rFonts w:ascii="宋体" w:hAnsi="宋体" w:cs="宋体"/>
                <w:b/>
                <w:bCs/>
                <w:kern w:val="0"/>
                <w:sz w:val="16"/>
                <w:szCs w:val="16"/>
              </w:rPr>
            </w:pPr>
            <w:r>
              <w:rPr>
                <w:rFonts w:ascii="宋体" w:hAnsi="宋体" w:cs="宋体" w:hint="eastAsia"/>
                <w:b/>
                <w:bCs/>
                <w:kern w:val="0"/>
                <w:sz w:val="16"/>
                <w:szCs w:val="16"/>
              </w:rPr>
              <w:t>银行有权设置并调整单个投资者赎回限制，并在设置或调整前至少3个工作日在银行网站（www.njcb.com.cn）进行公告；</w:t>
            </w:r>
          </w:p>
          <w:p w:rsidR="00267762" w:rsidRDefault="00267762" w:rsidP="00267762">
            <w:pPr>
              <w:widowControl/>
              <w:numPr>
                <w:ilvl w:val="0"/>
                <w:numId w:val="2"/>
              </w:numPr>
              <w:spacing w:line="200" w:lineRule="exact"/>
              <w:jc w:val="left"/>
              <w:rPr>
                <w:rFonts w:ascii="宋体" w:hAnsi="宋体" w:cs="宋体"/>
                <w:kern w:val="0"/>
                <w:sz w:val="16"/>
                <w:szCs w:val="16"/>
              </w:rPr>
            </w:pPr>
            <w:r>
              <w:rPr>
                <w:rFonts w:ascii="宋体" w:hAnsi="宋体" w:cs="宋体" w:hint="eastAsia"/>
                <w:b/>
                <w:bCs/>
                <w:kern w:val="0"/>
                <w:sz w:val="16"/>
                <w:szCs w:val="16"/>
              </w:rPr>
              <w:t>赎回确认日至资金到账日间赎回款项不计收益也不计息。</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lastRenderedPageBreak/>
              <w:t>巨额赎回情形及处理</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于开放日确认的净赎回申请总份额超过前一开放日理财产品总份额的10%，将视为巨额赎回。如发生巨额赎回时，银行有权选择采取下述处理措施的一种，对于部分延期赎回和暂停全部赎回的情形在2个工作日内在银行网站（www.njcb.com.cn）公告。</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1、接受全额赎回：当银行认为有能力兑付投资者的全部赎回申请时，按正常赎回程序执行；</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部分延期赎回：当银行认为兑付投资者的赎回申请有困难，或认为兑付投资者的赎回申请可能会对产品的资产净值造成较大波动时，银行在开放日接受赎回比例不低于本期产品总份额10%的前提下，对其余赎回申请延期办理；</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3、暂停全部赎回。银行有权根据市场变化，决定接受赎回的日期和时间。</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对于接受赎回的部分，银行将按单个投资者赎回量占所有投资者赎回申请量比例乘以接受赎回量进行兑付，如因系统设置原因当日无法接受全额赎回的，投资者需在下一开放日再次提交赎回申请。</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暂停认申购的情形及处理</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发生下列情形时，银行可暂停接受认申购申请：</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1、因不可抗力导致理财产品无法正常运作；</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2、因监管政策、市场发生重大变化，导致理财产品无法正常运作；</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3、银行认为需要暂停认申购的其他情形。</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若银行暂停接受认申购申请，需在2个工作日内在银行网站（www.njcb.com.cn）发布相关公告。并在以上情况消除的2个工作日内公告并恢复认申购业务的办理。</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暂停赎回或延缓支付赎回款项的情形及处理</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发生下列情形时，银行可暂停接受投资者的赎回申请或延缓支付赎回款项：</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1、因不可抗力导致银行不能支付赎回款项。</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2、银行间市场或证券交易所交易时间非正常停市，导致银行无法计算当日理财产品资产净值。</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3、本理财产品出现当日收益小于零的情形，为保护投资者的利益，银行有权暂停本理财产品的赎回。</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4、连续两个或两个以上开放日发生巨额赎回。</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5、法律法规规定或监管认定的其他情形。</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若银行暂停接受赎回申请或延缓支付赎回款项，需在2个工作日内在银行网站（www.njcb.com.cn）发布相关公告。并在以上情况消除的2个工作日内公告并恢复赎回业务的办理。</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收益分配方式及结转规则</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每日计算、按日分配”。本理财产品根据每日理财产品运作收益情况，以万份理财产品已实现净收益（该净收益已扣除本理财产品税费，下同）为基准，为投资者每日计算当日净收益并分配。投资者当日净收益分配的计算采用去尾法保留至小数点后两位，因去尾形成的余额进行再次分配，直到分完为止。单个投资者保留份额较低时，受去尾法的影响，投资者持有份额可能无法获得收益，敬请投资者注意。分配后理财产品净值始终为1元/份。</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2、“每日分红转份额，份额红利再投资”。本理财产品每日进行净收益计算并分配时，每日净收益支付方式只采用净收益转理财产品份额再投资方式，</w:t>
            </w:r>
            <w:r>
              <w:rPr>
                <w:rFonts w:ascii="宋体" w:hAnsi="宋体" w:cs="宋体" w:hint="eastAsia"/>
                <w:b/>
                <w:bCs/>
                <w:kern w:val="0"/>
                <w:sz w:val="16"/>
                <w:szCs w:val="16"/>
              </w:rPr>
              <w:t>当日净收益结转的份额计入下一工作日投资者份额中，投资者可通过赎回理财产品份额获得现金收益</w:t>
            </w:r>
            <w:r>
              <w:rPr>
                <w:rFonts w:ascii="宋体" w:hAnsi="宋体" w:cs="宋体" w:hint="eastAsia"/>
                <w:kern w:val="0"/>
                <w:sz w:val="16"/>
                <w:szCs w:val="16"/>
              </w:rPr>
              <w:t>。</w:t>
            </w:r>
          </w:p>
          <w:p w:rsidR="00267762" w:rsidRDefault="00267762" w:rsidP="002A4679">
            <w:pPr>
              <w:widowControl/>
              <w:spacing w:line="200" w:lineRule="exact"/>
              <w:ind w:firstLine="300"/>
              <w:jc w:val="left"/>
              <w:rPr>
                <w:rFonts w:ascii="宋体" w:hAnsi="宋体" w:cs="宋体"/>
                <w:kern w:val="0"/>
                <w:sz w:val="16"/>
                <w:szCs w:val="16"/>
              </w:rPr>
            </w:pPr>
            <w:r>
              <w:rPr>
                <w:rFonts w:ascii="宋体" w:hAnsi="宋体" w:cs="宋体" w:hint="eastAsia"/>
                <w:kern w:val="0"/>
                <w:sz w:val="16"/>
                <w:szCs w:val="16"/>
              </w:rPr>
              <w:t>结转规则：每日净收益结转份额。投资者持有份额在系统确认申赎前后可能不同。若当日净收益大于0，则增加投资者理财产品份额；若当日净收益等于零，则保持投资者理财产品份额不变；银行将采取必要措施尽量避免当日净收益小于零，若当日净收益小于0，则相应缩减投资者理财产品份额，在此种情况下，可能出现投资者发起赎回的份额和实际赎回的份额不一致的情况，敬请投资者注意。</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收益计算方式</w:t>
            </w:r>
          </w:p>
        </w:tc>
        <w:tc>
          <w:tcPr>
            <w:tcW w:w="7502" w:type="dxa"/>
            <w:vAlign w:val="center"/>
          </w:tcPr>
          <w:p w:rsidR="00267762" w:rsidRDefault="00267762" w:rsidP="002A4679">
            <w:pPr>
              <w:widowControl/>
              <w:spacing w:line="200" w:lineRule="exact"/>
              <w:jc w:val="left"/>
              <w:rPr>
                <w:rFonts w:ascii="宋体" w:hAnsi="宋体" w:cs="宋体"/>
                <w:kern w:val="0"/>
                <w:sz w:val="16"/>
                <w:szCs w:val="13"/>
              </w:rPr>
            </w:pPr>
            <w:r>
              <w:rPr>
                <w:rFonts w:ascii="宋体" w:hAnsi="宋体" w:cs="宋体" w:hint="eastAsia"/>
                <w:kern w:val="0"/>
                <w:sz w:val="16"/>
                <w:szCs w:val="13"/>
              </w:rPr>
              <w:t>当日理财产品万份收益=当日理财产品已实现净收益÷当日理财产品份额×10000；</w:t>
            </w:r>
          </w:p>
          <w:p w:rsidR="00267762" w:rsidRDefault="00267762" w:rsidP="002A4679">
            <w:pPr>
              <w:widowControl/>
              <w:spacing w:line="200" w:lineRule="exact"/>
              <w:jc w:val="left"/>
              <w:rPr>
                <w:rFonts w:ascii="宋体" w:hAnsi="宋体" w:cs="宋体"/>
                <w:kern w:val="0"/>
                <w:sz w:val="16"/>
                <w:szCs w:val="13"/>
              </w:rPr>
            </w:pPr>
            <w:r>
              <w:rPr>
                <w:rFonts w:ascii="宋体" w:hAnsi="宋体" w:cs="宋体" w:hint="eastAsia"/>
                <w:kern w:val="0"/>
                <w:sz w:val="16"/>
                <w:szCs w:val="13"/>
              </w:rPr>
              <w:t>投资者每日净收益=投资者当日持有理财产品份额÷10000×当日理财产品万份收益；</w:t>
            </w:r>
          </w:p>
          <w:p w:rsidR="00267762" w:rsidRDefault="00267762" w:rsidP="002A4679">
            <w:pPr>
              <w:widowControl/>
              <w:spacing w:line="200" w:lineRule="exact"/>
              <w:jc w:val="left"/>
              <w:rPr>
                <w:rFonts w:ascii="宋体" w:hAnsi="宋体" w:cs="宋体"/>
                <w:kern w:val="0"/>
                <w:sz w:val="16"/>
                <w:szCs w:val="13"/>
              </w:rPr>
            </w:pPr>
            <w:r>
              <w:rPr>
                <w:rFonts w:ascii="宋体" w:hAnsi="宋体" w:cs="宋体" w:hint="eastAsia"/>
                <w:kern w:val="0"/>
                <w:sz w:val="16"/>
                <w:szCs w:val="13"/>
              </w:rPr>
              <w:t>投资者每日结转份额数=投资者每日收益÷1元/份。</w:t>
            </w:r>
          </w:p>
          <w:p w:rsidR="00267762" w:rsidRDefault="00267762" w:rsidP="002A4679">
            <w:pPr>
              <w:widowControl/>
              <w:spacing w:line="200" w:lineRule="exact"/>
              <w:jc w:val="left"/>
              <w:rPr>
                <w:rFonts w:ascii="宋体" w:hAnsi="宋体" w:cs="宋体"/>
                <w:kern w:val="0"/>
                <w:sz w:val="16"/>
                <w:szCs w:val="13"/>
              </w:rPr>
            </w:pPr>
            <w:r>
              <w:rPr>
                <w:rFonts w:ascii="宋体" w:hAnsi="宋体" w:cs="宋体" w:hint="eastAsia"/>
                <w:b/>
                <w:bCs/>
                <w:kern w:val="0"/>
                <w:sz w:val="16"/>
                <w:szCs w:val="13"/>
              </w:rPr>
              <w:t>（采用去尾法保留至小数点后两位）</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万份收益和七日年化收益率</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每个工作日的产品万份收益于下一工作日在银行网站（www.njcb.com.cn）进行公告</w:t>
            </w:r>
            <w:r>
              <w:rPr>
                <w:rFonts w:ascii="宋体" w:hAnsi="宋体" w:cs="宋体" w:hint="eastAsia"/>
                <w:b/>
                <w:bCs/>
                <w:kern w:val="0"/>
                <w:sz w:val="16"/>
                <w:szCs w:val="13"/>
              </w:rPr>
              <w:t>（采用去尾法保留至小数点后四位）</w:t>
            </w:r>
            <w:r>
              <w:rPr>
                <w:rFonts w:ascii="宋体" w:hAnsi="宋体" w:cs="宋体" w:hint="eastAsia"/>
                <w:kern w:val="0"/>
                <w:sz w:val="16"/>
                <w:szCs w:val="16"/>
              </w:rPr>
              <w:t>。</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每个工作日在银行网站（www.njcb.com.cn）公告最近七日（含节假日）收益所折算的产品年化收益率。计算公式：</w:t>
            </w:r>
          </w:p>
          <w:p w:rsidR="00267762" w:rsidRDefault="00267762" w:rsidP="002A4679">
            <w:pPr>
              <w:widowControl/>
              <w:spacing w:line="200" w:lineRule="exact"/>
              <w:jc w:val="left"/>
              <w:rPr>
                <w:rFonts w:ascii="宋体" w:hAnsi="宋体" w:cs="宋体"/>
                <w:kern w:val="0"/>
                <w:sz w:val="16"/>
                <w:szCs w:val="16"/>
              </w:rPr>
            </w:pPr>
          </w:p>
          <w:p w:rsidR="00267762" w:rsidRDefault="00267762" w:rsidP="002A4679">
            <w:pPr>
              <w:widowControl/>
              <w:spacing w:line="200" w:lineRule="exact"/>
              <w:jc w:val="left"/>
              <w:rPr>
                <w:rFonts w:ascii="宋体" w:hAnsi="宋体" w:cs="宋体"/>
                <w:kern w:val="0"/>
                <w:sz w:val="16"/>
                <w:szCs w:val="16"/>
              </w:rPr>
            </w:pPr>
          </w:p>
          <w:p w:rsidR="00267762" w:rsidRDefault="00267762" w:rsidP="002A4679">
            <w:pPr>
              <w:widowControl/>
              <w:spacing w:line="200" w:lineRule="exact"/>
              <w:jc w:val="left"/>
              <w:rPr>
                <w:rFonts w:ascii="宋体" w:hAnsi="宋体" w:cs="宋体"/>
                <w:kern w:val="0"/>
                <w:sz w:val="16"/>
                <w:szCs w:val="16"/>
              </w:rPr>
            </w:pPr>
            <w:r>
              <w:rPr>
                <w:rFonts w:ascii="宋体" w:hAnsi="宋体" w:cs="宋体"/>
                <w:kern w:val="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pt;margin-top:-1.85pt;width:179.2pt;height:40.2pt;z-index:251660288">
                  <v:imagedata r:id="rId9" o:title=""/>
                  <w10:wrap type="topAndBottom"/>
                </v:shape>
                <o:OLEObject Type="Embed" ProgID="Equation.3" ShapeID="_x0000_s1026" DrawAspect="Content" ObjectID="_1644673718" r:id="rId10"/>
              </w:pic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其中， Ri为最近第i个自然日(包括计算当日)的万份收益。</w:t>
            </w:r>
            <w:r>
              <w:rPr>
                <w:rFonts w:ascii="宋体" w:hAnsi="宋体" w:cs="宋体" w:hint="eastAsia"/>
                <w:b/>
                <w:bCs/>
                <w:kern w:val="0"/>
                <w:sz w:val="16"/>
                <w:szCs w:val="16"/>
              </w:rPr>
              <w:t>七日年化收益率采用去尾法保留至百分号内小数点后四位。</w:t>
            </w:r>
          </w:p>
        </w:tc>
      </w:tr>
      <w:tr w:rsidR="00267762" w:rsidTr="002A4679">
        <w:trPr>
          <w:trHeight w:val="1051"/>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投资范围</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的投资范围为具有良好流动性的金融工具，包括国内依法发行的债券（国债、央行票据、金融债、地方政府债、公司信用类债券、资产支持证券等）、债券回购、银行存款、同业存单、货币市场工具、证券投资基金（仅限于货币型和纯债型证券投资基金）以及国务院银行监督管理机构允许银行理财投资的金融工具。本理财产品不投资股票等权益类资产，不投资商品及金融衍生品类资产。</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如法律法规或监管机构以后允许银行理财产品投资其他品种，理财产品管理人在履行适当程序后，可以将其纳入投资范围，其投资比例遵循届时有效法律法规或相关规定。</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投资比例</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本理财产品投资于债券等固定收益类资产的比例不低于理财产品资产的80%。</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注：非因银行主观因素导致突破上述比例限制的，银行将在流动性受限资产可出售、可转让或者恢复交易的15个交易日内将投资比例调整至符合至说明书约定的范围。如果法律法规或者监管机构变更投资品种的投资比例限制，理财产品管理人在履行适当程序后，可以调整上述投资品种的投资比例。</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理财产品管理人</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南京银行</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托管人及托管人职责</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本理财产品托管人为南京银行，主要职责如下：</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lastRenderedPageBreak/>
              <w:t>1、安全保管理财产品财产；</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2、为每只理财产品开设独立的托管账户，不同托管账户中的资产应当相互独立；</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3、按照托管协议约定和管理人的投资指令，及时办理清算、交割事宜；</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4、建立与管理人的对账机制，复核、审查理财产品资金头寸、资产账目、资产净值、认购和赎回价格等数据，及时核查认购、赎回以及投资资金的支付和到账情况；</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5、监督理财产品投资运作，发现理财产品违反法律、行政法规、规章规定或合同约定进行投资的，应当拒绝执行，及时通知管理人并报告银行业监督管理机构；</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7、理财托管业务活动的记录、账册、报表和其他相关资料保存15年以上；</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8、对理财产品投资信息和相关资料承担保密责任，除法律、行政法规、规章规定、审计要求或者合同约定外，不得向任何机构或者个人提供相关信息和资料；</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9、国务院银行业监督管理机构规定的其他职责。</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lastRenderedPageBreak/>
              <w:t>费用</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管理费：按理财产品总份额按日计提管理费，管理费为0.5%/年。</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销售费：按理财产品总份额按日计提销售费，销售费为0.2%/年。</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托管费：按理财产品总份额按日计提托管费，托管费为0.02%/年。</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本理财产品不收取申购费和赎回费。</w:t>
            </w:r>
          </w:p>
        </w:tc>
      </w:tr>
      <w:tr w:rsidR="00267762" w:rsidTr="002A4679">
        <w:trPr>
          <w:trHeight w:val="90"/>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业绩比较基准</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中国人民银行公布的</w:t>
            </w:r>
            <w:r>
              <w:rPr>
                <w:rFonts w:ascii="宋体" w:hAnsi="宋体" w:cs="宋体"/>
                <w:kern w:val="0"/>
                <w:sz w:val="16"/>
                <w:szCs w:val="16"/>
              </w:rPr>
              <w:t>7</w:t>
            </w:r>
            <w:r>
              <w:rPr>
                <w:rFonts w:ascii="宋体" w:hAnsi="宋体" w:cs="宋体" w:hint="eastAsia"/>
                <w:kern w:val="0"/>
                <w:sz w:val="16"/>
                <w:szCs w:val="16"/>
              </w:rPr>
              <w:t xml:space="preserve">天通知存款基准利率 </w:t>
            </w:r>
          </w:p>
        </w:tc>
      </w:tr>
      <w:tr w:rsidR="00267762" w:rsidTr="002A4679">
        <w:trPr>
          <w:trHeight w:val="90"/>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风险事件说明</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具体参见理财产品风险揭示书</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其他说明事项</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1、在理财期限内，银行有提前终止权，至少在提前终止/名义产品到期日前3个工作日在银行网站（www.njcb.com.cn）进行公告；投资者无提前终止权，但出现本理财产品说明书第三条第二款所列相关情形除外。</w:t>
            </w:r>
          </w:p>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2、银行将按照监管规定进行本理财产品的成立公告、定期报告、到期报告等其他信息披露事项。</w:t>
            </w:r>
          </w:p>
        </w:tc>
      </w:tr>
      <w:tr w:rsidR="00267762" w:rsidTr="002A4679">
        <w:trPr>
          <w:jc w:val="center"/>
        </w:trPr>
        <w:tc>
          <w:tcPr>
            <w:tcW w:w="2159"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税务处理</w:t>
            </w:r>
          </w:p>
        </w:tc>
        <w:tc>
          <w:tcPr>
            <w:tcW w:w="7502" w:type="dxa"/>
            <w:vAlign w:val="center"/>
          </w:tcPr>
          <w:p w:rsidR="00267762" w:rsidRDefault="00267762" w:rsidP="002A4679">
            <w:pPr>
              <w:widowControl/>
              <w:spacing w:line="200" w:lineRule="exact"/>
              <w:jc w:val="left"/>
              <w:rPr>
                <w:rFonts w:ascii="宋体" w:hAnsi="宋体" w:cs="宋体"/>
                <w:kern w:val="0"/>
                <w:sz w:val="16"/>
                <w:szCs w:val="16"/>
              </w:rPr>
            </w:pPr>
            <w:r>
              <w:rPr>
                <w:rFonts w:ascii="宋体" w:hAnsi="宋体" w:cs="宋体" w:hint="eastAsia"/>
                <w:kern w:val="0"/>
                <w:sz w:val="16"/>
                <w:szCs w:val="16"/>
              </w:rPr>
              <w:t>本理财产品运作过程中涉及的各纳税主体，其纳税义务按国家税收法律、法规执行。理财产品运营过程中发生的增值税应税行为，由银行作为增值税纳税人进行缴纳，税金由该理财产品承担。除法律法规特别要求外，投资者应缴纳的税收由投资者负责，银行不负责代扣代缴。</w:t>
            </w:r>
          </w:p>
        </w:tc>
      </w:tr>
    </w:tbl>
    <w:p w:rsidR="00267762" w:rsidRDefault="00267762" w:rsidP="00267762">
      <w:pPr>
        <w:widowControl/>
        <w:spacing w:line="200" w:lineRule="exact"/>
        <w:jc w:val="left"/>
        <w:rPr>
          <w:rFonts w:ascii="宋体" w:hAnsi="宋体" w:cs="宋体"/>
          <w:b/>
          <w:color w:val="3D3D3D"/>
          <w:kern w:val="0"/>
          <w:sz w:val="13"/>
          <w:szCs w:val="11"/>
        </w:rPr>
      </w:pPr>
      <w:r>
        <w:rPr>
          <w:rFonts w:ascii="宋体" w:hAnsi="宋体" w:cs="宋体" w:hint="eastAsia"/>
          <w:b/>
          <w:color w:val="3D3D3D"/>
          <w:kern w:val="0"/>
          <w:sz w:val="15"/>
          <w:szCs w:val="11"/>
        </w:rPr>
        <w:t>特别说明：本理财产品无预期收益率，理财产品过往业绩不代表其未来表现，不等于理财产品实际收益，投资须谨慎。</w:t>
      </w:r>
    </w:p>
    <w:p w:rsidR="00267762" w:rsidRDefault="00267762" w:rsidP="00267762">
      <w:pPr>
        <w:widowControl/>
        <w:spacing w:line="200" w:lineRule="exact"/>
        <w:ind w:firstLineChars="150" w:firstLine="225"/>
        <w:jc w:val="left"/>
        <w:rPr>
          <w:rFonts w:ascii="宋体" w:hAnsi="宋体" w:cs="宋体"/>
          <w:color w:val="000000"/>
          <w:kern w:val="0"/>
          <w:sz w:val="15"/>
          <w:szCs w:val="11"/>
        </w:rPr>
      </w:pPr>
      <w:r>
        <w:rPr>
          <w:rFonts w:ascii="宋体" w:hAnsi="宋体" w:cs="宋体" w:hint="eastAsia"/>
          <w:color w:val="000000"/>
          <w:kern w:val="0"/>
          <w:sz w:val="15"/>
          <w:szCs w:val="11"/>
        </w:rPr>
        <w:t>第二条 名词释义</w:t>
      </w:r>
    </w:p>
    <w:p w:rsidR="00267762" w:rsidRDefault="00267762" w:rsidP="00267762">
      <w:pPr>
        <w:widowControl/>
        <w:spacing w:line="200" w:lineRule="exact"/>
        <w:jc w:val="left"/>
        <w:rPr>
          <w:rFonts w:ascii="宋体" w:hAnsi="宋体" w:cs="宋体"/>
          <w:color w:val="000000"/>
          <w:kern w:val="0"/>
          <w:sz w:val="15"/>
          <w:szCs w:val="11"/>
        </w:rPr>
      </w:pPr>
      <w:r>
        <w:rPr>
          <w:rFonts w:ascii="宋体" w:hAnsi="宋体" w:cs="宋体" w:hint="eastAsia"/>
          <w:color w:val="000000"/>
          <w:kern w:val="0"/>
          <w:sz w:val="15"/>
          <w:szCs w:val="11"/>
        </w:rPr>
        <w:t xml:space="preserve">　　（一）认购期/募集期：是指银行确定的接受投资者认购本理财产品的起止期限。</w:t>
      </w:r>
    </w:p>
    <w:p w:rsidR="00267762" w:rsidRDefault="00267762" w:rsidP="00267762">
      <w:pPr>
        <w:widowControl/>
        <w:spacing w:line="200" w:lineRule="exact"/>
        <w:jc w:val="left"/>
        <w:rPr>
          <w:rFonts w:ascii="宋体" w:hAnsi="宋体" w:cs="宋体"/>
          <w:color w:val="000000"/>
          <w:kern w:val="0"/>
          <w:sz w:val="15"/>
          <w:szCs w:val="11"/>
        </w:rPr>
      </w:pPr>
      <w:r>
        <w:rPr>
          <w:rFonts w:ascii="宋体" w:hAnsi="宋体" w:cs="宋体" w:hint="eastAsia"/>
          <w:color w:val="000000"/>
          <w:kern w:val="0"/>
          <w:sz w:val="15"/>
          <w:szCs w:val="11"/>
        </w:rPr>
        <w:t xml:space="preserve">　　（二）提前终止权：是指在本理财产品存续期内，银行或投资者单方面决定提前终止本理财产品的权利。</w:t>
      </w:r>
    </w:p>
    <w:p w:rsidR="00267762" w:rsidRDefault="00267762" w:rsidP="00267762">
      <w:pPr>
        <w:widowControl/>
        <w:spacing w:line="200" w:lineRule="exact"/>
        <w:jc w:val="left"/>
        <w:rPr>
          <w:rFonts w:ascii="宋体" w:hAnsi="宋体" w:cs="宋体"/>
          <w:color w:val="000000"/>
          <w:kern w:val="0"/>
          <w:sz w:val="15"/>
          <w:szCs w:val="11"/>
        </w:rPr>
      </w:pPr>
      <w:r>
        <w:rPr>
          <w:rFonts w:ascii="宋体" w:hAnsi="宋体" w:cs="宋体" w:hint="eastAsia"/>
          <w:color w:val="000000"/>
          <w:kern w:val="0"/>
          <w:sz w:val="15"/>
          <w:szCs w:val="11"/>
        </w:rPr>
        <w:t xml:space="preserve">　　（三）提前终止权行使日：是指银行或投资者行使提前终止权的日期，也即本理财产品被提前终止、开始停止计算收益的日期。</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（四）认购确认日：是指投资者认购理财产品最终确认日期。</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（五）理财存续期：是指理财产品成立至终止的期间。</w:t>
      </w:r>
    </w:p>
    <w:p w:rsidR="00267762" w:rsidRDefault="00267762" w:rsidP="00267762">
      <w:pPr>
        <w:widowControl/>
        <w:spacing w:line="200" w:lineRule="exact"/>
        <w:ind w:firstLineChars="200" w:firstLine="300"/>
        <w:jc w:val="left"/>
        <w:rPr>
          <w:rFonts w:ascii="宋体" w:hAnsi="宋体" w:cs="宋体"/>
          <w:color w:val="000000"/>
          <w:kern w:val="0"/>
          <w:sz w:val="15"/>
          <w:szCs w:val="11"/>
        </w:rPr>
      </w:pPr>
      <w:r>
        <w:rPr>
          <w:rFonts w:ascii="宋体" w:hAnsi="宋体" w:cs="宋体" w:hint="eastAsia"/>
          <w:color w:val="000000"/>
          <w:kern w:val="0"/>
          <w:sz w:val="15"/>
          <w:szCs w:val="11"/>
        </w:rPr>
        <w:t>（六）名义到期日：是指在银行未对本理财产品提前终止的情况下本理财产品的到期日期。</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（七）实际到期日：是指银行实际开始停止计算本理财产品收益的日期。若本理财产品未被提前终止，则实际到期日即为名义到期日；若本理财产品被提前终止，则实际到期日为提前终止权行使日。</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（八）工作日：是指除国家法定节假日和休息日(休息日包括周六、周日)外的日期。</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（九）万份收益：是指每一万份理财产品份额已实现的扣除本理财产品税费后的净收益。</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（十）七日年化收益率，是指本理财产品最近七日（含节假日）的收益所折算的年化收益率。</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（十一）固定收益类理财产品：是指投资于存款、债券等债权类资产的比例不低于80%的理财产品。</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（十二）权益类理财产品：是指投资于权益类资产的比例不低于80%的理财产品。</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（十三）商品及金融衍生品类理财产品：是指投资于商品及金融衍生品的比例不低于80%的理财产品。</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（十四）混合类理财产品：是指投资于债权类资产、权益类资产、商品及金融衍生品类资产且任一资产的投资比例未达到80%的理财产品。</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（十五）公募理财产品：是指面向不特定社会公众公开发行的理财产品。</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（十六）私募理财产品：是指面向合格投资者非公开发行的理财产品。</w:t>
      </w:r>
    </w:p>
    <w:p w:rsidR="00267762" w:rsidRDefault="00267762" w:rsidP="00267762">
      <w:pPr>
        <w:widowControl/>
        <w:spacing w:line="200" w:lineRule="exact"/>
        <w:ind w:firstLineChars="150" w:firstLine="225"/>
        <w:jc w:val="left"/>
        <w:rPr>
          <w:rFonts w:ascii="宋体" w:hAnsi="宋体" w:cs="宋体"/>
          <w:color w:val="000000"/>
          <w:kern w:val="0"/>
          <w:sz w:val="15"/>
          <w:szCs w:val="11"/>
        </w:rPr>
      </w:pPr>
      <w:r>
        <w:rPr>
          <w:rFonts w:ascii="宋体" w:hAnsi="宋体" w:cs="宋体" w:hint="eastAsia"/>
          <w:color w:val="000000"/>
          <w:kern w:val="0"/>
          <w:sz w:val="15"/>
          <w:szCs w:val="11"/>
        </w:rPr>
        <w:t>第三条 运作方式</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一）运作方向：本理财产品的投资范围为具有良好流动性的金融工具，包括国内依法发行的债券（国债、央行票据、金融债、地方政府债、公司信用类债券、资产支持证券等）、债券回购、银行存款、同业存单、货币市场工具、证券投资基金（仅限于货币型和纯债型证券投资基金）以及国务院银行监督管理机构允许银行理财投资的金融工具。本理财产品不投资股票等权益类资产</w:t>
      </w:r>
      <w:r>
        <w:rPr>
          <w:rFonts w:ascii="宋体" w:hAnsi="宋体" w:cs="宋体" w:hint="eastAsia"/>
          <w:kern w:val="0"/>
          <w:sz w:val="16"/>
          <w:szCs w:val="16"/>
        </w:rPr>
        <w:t>，</w:t>
      </w:r>
      <w:r>
        <w:rPr>
          <w:rFonts w:ascii="宋体" w:hAnsi="宋体" w:cs="宋体" w:hint="eastAsia"/>
          <w:color w:val="000000"/>
          <w:kern w:val="0"/>
          <w:sz w:val="15"/>
          <w:szCs w:val="11"/>
        </w:rPr>
        <w:t>不投资商品及金融衍生品类资产。</w:t>
      </w:r>
    </w:p>
    <w:p w:rsidR="00267762" w:rsidRDefault="00267762" w:rsidP="00267762">
      <w:pPr>
        <w:widowControl/>
        <w:spacing w:line="200" w:lineRule="exact"/>
        <w:ind w:firstLine="300"/>
        <w:jc w:val="left"/>
        <w:rPr>
          <w:rFonts w:ascii="宋体" w:hAnsi="宋体" w:cs="宋体"/>
          <w:color w:val="000000"/>
          <w:kern w:val="0"/>
          <w:sz w:val="15"/>
          <w:szCs w:val="11"/>
        </w:rPr>
      </w:pPr>
      <w:r>
        <w:rPr>
          <w:rFonts w:ascii="宋体" w:hAnsi="宋体" w:cs="宋体" w:hint="eastAsia"/>
          <w:color w:val="000000"/>
          <w:kern w:val="0"/>
          <w:sz w:val="15"/>
          <w:szCs w:val="11"/>
        </w:rPr>
        <w:t>如法律法规或监管机构以后允许银行理财产品投资其他品种，理财产品管理人在履行适当程序后，可以将其纳入投资范围，其投资比例遵循届时有效法律法规或相关规定。</w:t>
      </w:r>
    </w:p>
    <w:p w:rsidR="00267762" w:rsidRDefault="00267762" w:rsidP="00267762">
      <w:pPr>
        <w:widowControl/>
        <w:spacing w:line="200" w:lineRule="exact"/>
        <w:ind w:firstLine="300"/>
        <w:jc w:val="left"/>
        <w:rPr>
          <w:rFonts w:ascii="宋体" w:hAnsi="宋体" w:cs="宋体"/>
          <w:b/>
          <w:bCs/>
          <w:color w:val="3D3D3D"/>
          <w:kern w:val="0"/>
          <w:sz w:val="15"/>
          <w:szCs w:val="11"/>
        </w:rPr>
      </w:pPr>
      <w:r>
        <w:rPr>
          <w:rFonts w:ascii="宋体" w:hAnsi="宋体" w:cs="宋体" w:hint="eastAsia"/>
          <w:color w:val="3D3D3D"/>
          <w:kern w:val="0"/>
          <w:sz w:val="15"/>
          <w:szCs w:val="11"/>
        </w:rPr>
        <w:t>（二）提前终止：</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在理财存续期内，如发生以下事项时，银行可对本理财产品行使全部提前终止权（如银行提前终止本理财产品，银行将于该理财产品提前终止日前3个工作日在银行网站（www.njcb.com.cn）上发布提前终止公告）：</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1.如因本理财产品资产运作模式等与法律法规、规章的规定或者监管部门的要求等存在冲突导致理财产品必须提前终止的；</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2.国家有关法律、法规、规章、政策的改变、紧急措施的出台、理财市场环境发生重大变化等导致理财产品必须提前终止的；</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3.因地震、火灾、战争、罢工等不可抗力因素导致本理财产品必须提前终止的；</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4.银行认为应该提前终止本理财产品的其他情况。</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在理财存续期内，投资者无提前终止权,但如下情形除外：</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b/>
          <w:bCs/>
          <w:kern w:val="0"/>
          <w:sz w:val="15"/>
          <w:szCs w:val="11"/>
        </w:rPr>
        <w:t xml:space="preserve">　　1.银行根据市场情况，调整本理财产品投资范围、投资品种或者投资比例，并按照有关规定进行信息披露。除高风险类型的理财产品超出比例范围投资较低风险资产外，应当先取得投资者书面同意，如投资者不接受的，则投资者可根据信息披露的内容向银行申请提前赎回。</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b/>
          <w:bCs/>
          <w:kern w:val="0"/>
          <w:sz w:val="15"/>
          <w:szCs w:val="11"/>
        </w:rPr>
        <w:t>2.银行根据相关法律和国家政策规定，对已约定的理财产品收费项目、条件、标准和方式进行调整时，在按照有关规定进行信息披露后，如投资者不接受的，则投资者可根据信息披露的内容向银行申请提前赎回。</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color w:val="000000"/>
          <w:kern w:val="0"/>
          <w:sz w:val="15"/>
          <w:szCs w:val="11"/>
        </w:rPr>
        <w:t xml:space="preserve">　　第四条 相关计算规则</w:t>
      </w:r>
    </w:p>
    <w:p w:rsidR="00267762" w:rsidRDefault="00267762" w:rsidP="00267762">
      <w:pPr>
        <w:widowControl/>
        <w:spacing w:line="200" w:lineRule="exact"/>
        <w:ind w:firstLine="300"/>
        <w:jc w:val="left"/>
        <w:rPr>
          <w:rFonts w:ascii="宋体" w:hAnsi="宋体" w:cs="宋体"/>
          <w:kern w:val="0"/>
          <w:sz w:val="15"/>
          <w:szCs w:val="11"/>
        </w:rPr>
      </w:pPr>
      <w:r>
        <w:rPr>
          <w:rFonts w:ascii="宋体" w:hAnsi="宋体" w:cs="宋体" w:hint="eastAsia"/>
          <w:kern w:val="0"/>
          <w:sz w:val="15"/>
          <w:szCs w:val="11"/>
        </w:rPr>
        <w:t>（一）收益分配规则</w:t>
      </w:r>
    </w:p>
    <w:p w:rsidR="00267762" w:rsidRDefault="00267762" w:rsidP="00267762">
      <w:pPr>
        <w:widowControl/>
        <w:spacing w:line="200" w:lineRule="exact"/>
        <w:ind w:firstLine="300"/>
        <w:jc w:val="left"/>
        <w:rPr>
          <w:rFonts w:ascii="宋体" w:hAnsi="宋体" w:cs="宋体"/>
          <w:kern w:val="0"/>
          <w:sz w:val="15"/>
          <w:szCs w:val="11"/>
        </w:rPr>
      </w:pPr>
      <w:r>
        <w:rPr>
          <w:rFonts w:ascii="宋体" w:hAnsi="宋体" w:cs="宋体" w:hint="eastAsia"/>
          <w:kern w:val="0"/>
          <w:sz w:val="15"/>
          <w:szCs w:val="11"/>
        </w:rPr>
        <w:t>详见第一条产品基本要素中“收益分配方式及结转规则”条款。</w:t>
      </w:r>
    </w:p>
    <w:p w:rsidR="00267762" w:rsidRDefault="00267762" w:rsidP="00267762">
      <w:pPr>
        <w:widowControl/>
        <w:numPr>
          <w:ilvl w:val="0"/>
          <w:numId w:val="3"/>
        </w:numPr>
        <w:spacing w:line="200" w:lineRule="exact"/>
        <w:jc w:val="left"/>
        <w:rPr>
          <w:rFonts w:ascii="宋体" w:hAnsi="宋体" w:cs="宋体"/>
          <w:kern w:val="0"/>
          <w:sz w:val="15"/>
          <w:szCs w:val="11"/>
        </w:rPr>
      </w:pPr>
      <w:r>
        <w:rPr>
          <w:rFonts w:ascii="宋体" w:hAnsi="宋体" w:cs="宋体" w:hint="eastAsia"/>
          <w:kern w:val="0"/>
          <w:sz w:val="15"/>
          <w:szCs w:val="11"/>
        </w:rPr>
        <w:t>收益计算公式</w:t>
      </w:r>
    </w:p>
    <w:p w:rsidR="00267762" w:rsidRDefault="00267762" w:rsidP="00267762">
      <w:pPr>
        <w:widowControl/>
        <w:spacing w:line="200" w:lineRule="exact"/>
        <w:ind w:left="300"/>
        <w:jc w:val="left"/>
        <w:rPr>
          <w:rFonts w:ascii="宋体" w:hAnsi="宋体" w:cs="宋体"/>
          <w:kern w:val="0"/>
          <w:sz w:val="15"/>
          <w:szCs w:val="11"/>
        </w:rPr>
      </w:pPr>
      <w:r>
        <w:rPr>
          <w:rFonts w:ascii="宋体" w:hAnsi="宋体" w:cs="宋体" w:hint="eastAsia"/>
          <w:kern w:val="0"/>
          <w:sz w:val="15"/>
          <w:szCs w:val="11"/>
        </w:rPr>
        <w:t>详见第一条产品基本要素中“收益计算公式”条款。</w:t>
      </w:r>
    </w:p>
    <w:p w:rsidR="00267762" w:rsidRDefault="00267762" w:rsidP="00267762">
      <w:pPr>
        <w:widowControl/>
        <w:numPr>
          <w:ilvl w:val="0"/>
          <w:numId w:val="4"/>
        </w:numPr>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产品到期兑付：理财产品到期时，若投资者未办理赎回手续，则银行对投资者持有本理财产品进行强行赎回，兑付款项=确认赎回份额×1元/份。投资者到期收到款项以去尾法保留两位小数。</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（四）情景示例（以下情景分析采用假设数据计算，仅为举例之用）</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lastRenderedPageBreak/>
        <w:t>假设投资者原持有本理财产品份额为0，周一至周五为产品开放日，周六周日为非产品开放日。</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情景1：</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投资者在本周一在0:00-15:30申购了100,000元，则申购确认日为本周二，本周二持有100,000份；在本周三0:00-15:30赎回100,000份，则赎回确认日为本周四。本周二至本周四的万份收益为0.6000、0.7000和0.8000。</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本周二产生的收益转份额数为100,000/10,000*0.6000=6.00份，计入本周三的投资者份额中（本周三投资者的份额为100,006份）；本周三产生的收益转份额数为100,006/10,000*0.7000=7.00份，计入本周四的投资者份额中（本周四投资者的份额为100,013-100,000=13份）；本周四产生的收益转份额数为13/10,000*0.800=0.00份，计入本周五的投资者份额中（本周五投资者的份额为13份）。下周二（含）前100,000元赎回资金到账。</w:t>
      </w:r>
    </w:p>
    <w:tbl>
      <w:tblPr>
        <w:tblStyle w:val="aa"/>
        <w:tblW w:w="5435" w:type="dxa"/>
        <w:jc w:val="center"/>
        <w:tblLayout w:type="fixed"/>
        <w:tblLook w:val="04A0"/>
      </w:tblPr>
      <w:tblGrid>
        <w:gridCol w:w="2683"/>
        <w:gridCol w:w="1201"/>
        <w:gridCol w:w="1551"/>
      </w:tblGrid>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时间</w:t>
            </w:r>
          </w:p>
        </w:tc>
        <w:tc>
          <w:tcPr>
            <w:tcW w:w="1201" w:type="dxa"/>
          </w:tcPr>
          <w:p w:rsidR="00267762" w:rsidRDefault="00267762" w:rsidP="002A4679">
            <w:pPr>
              <w:rPr>
                <w:rFonts w:ascii="宋体" w:hAnsi="宋体" w:cs="宋体"/>
                <w:sz w:val="15"/>
                <w:szCs w:val="15"/>
              </w:rPr>
            </w:pPr>
            <w:r>
              <w:rPr>
                <w:rFonts w:ascii="宋体" w:hAnsi="宋体" w:cs="宋体" w:hint="eastAsia"/>
                <w:sz w:val="15"/>
                <w:szCs w:val="15"/>
              </w:rPr>
              <w:t>投资者份额：份</w:t>
            </w:r>
          </w:p>
        </w:tc>
        <w:tc>
          <w:tcPr>
            <w:tcW w:w="1551" w:type="dxa"/>
          </w:tcPr>
          <w:p w:rsidR="00267762" w:rsidRDefault="00267762" w:rsidP="002A4679">
            <w:pPr>
              <w:rPr>
                <w:rFonts w:ascii="宋体" w:hAnsi="宋体" w:cs="宋体"/>
                <w:sz w:val="15"/>
                <w:szCs w:val="15"/>
              </w:rPr>
            </w:pPr>
            <w:r>
              <w:rPr>
                <w:rFonts w:ascii="宋体" w:hAnsi="宋体" w:cs="宋体" w:hint="eastAsia"/>
                <w:sz w:val="15"/>
                <w:szCs w:val="15"/>
              </w:rPr>
              <w:t>收益转份额：份</w:t>
            </w:r>
          </w:p>
        </w:tc>
      </w:tr>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本周一</w:t>
            </w:r>
          </w:p>
        </w:tc>
        <w:tc>
          <w:tcPr>
            <w:tcW w:w="1201" w:type="dxa"/>
          </w:tcPr>
          <w:p w:rsidR="00267762" w:rsidRDefault="00267762" w:rsidP="002A4679">
            <w:pPr>
              <w:jc w:val="center"/>
              <w:rPr>
                <w:rFonts w:ascii="宋体" w:hAnsi="宋体" w:cs="宋体"/>
                <w:sz w:val="15"/>
                <w:szCs w:val="15"/>
              </w:rPr>
            </w:pPr>
            <w:r>
              <w:rPr>
                <w:rFonts w:ascii="宋体" w:hAnsi="宋体" w:cs="宋体" w:hint="eastAsia"/>
                <w:sz w:val="15"/>
                <w:szCs w:val="15"/>
              </w:rPr>
              <w:t>0</w:t>
            </w:r>
          </w:p>
        </w:tc>
        <w:tc>
          <w:tcPr>
            <w:tcW w:w="1551" w:type="dxa"/>
          </w:tcPr>
          <w:p w:rsidR="00267762" w:rsidRDefault="00267762" w:rsidP="002A4679">
            <w:pPr>
              <w:jc w:val="center"/>
              <w:rPr>
                <w:rFonts w:ascii="宋体" w:hAnsi="宋体" w:cs="宋体"/>
                <w:sz w:val="15"/>
                <w:szCs w:val="15"/>
              </w:rPr>
            </w:pPr>
          </w:p>
        </w:tc>
      </w:tr>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本周二（申购确认日）</w:t>
            </w:r>
          </w:p>
        </w:tc>
        <w:tc>
          <w:tcPr>
            <w:tcW w:w="1201" w:type="dxa"/>
          </w:tcPr>
          <w:p w:rsidR="00267762" w:rsidRDefault="00267762" w:rsidP="002A4679">
            <w:pPr>
              <w:jc w:val="center"/>
              <w:rPr>
                <w:rFonts w:ascii="宋体" w:hAnsi="宋体" w:cs="宋体"/>
                <w:sz w:val="15"/>
                <w:szCs w:val="15"/>
              </w:rPr>
            </w:pPr>
            <w:r>
              <w:rPr>
                <w:rFonts w:ascii="宋体" w:hAnsi="宋体" w:cs="宋体" w:hint="eastAsia"/>
                <w:sz w:val="15"/>
                <w:szCs w:val="15"/>
              </w:rPr>
              <w:t>100,000</w:t>
            </w:r>
          </w:p>
        </w:tc>
        <w:tc>
          <w:tcPr>
            <w:tcW w:w="1551" w:type="dxa"/>
          </w:tcPr>
          <w:p w:rsidR="00267762" w:rsidRDefault="00267762" w:rsidP="002A4679">
            <w:pPr>
              <w:jc w:val="center"/>
              <w:rPr>
                <w:rFonts w:ascii="宋体" w:hAnsi="宋体" w:cs="宋体"/>
                <w:sz w:val="15"/>
                <w:szCs w:val="15"/>
              </w:rPr>
            </w:pPr>
            <w:r>
              <w:rPr>
                <w:rFonts w:ascii="宋体" w:hAnsi="宋体" w:cs="宋体" w:hint="eastAsia"/>
                <w:sz w:val="15"/>
                <w:szCs w:val="15"/>
              </w:rPr>
              <w:t>6.00</w:t>
            </w:r>
          </w:p>
        </w:tc>
      </w:tr>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本周三</w:t>
            </w:r>
          </w:p>
        </w:tc>
        <w:tc>
          <w:tcPr>
            <w:tcW w:w="1201" w:type="dxa"/>
          </w:tcPr>
          <w:p w:rsidR="00267762" w:rsidRDefault="00267762" w:rsidP="002A4679">
            <w:pPr>
              <w:jc w:val="center"/>
              <w:rPr>
                <w:rFonts w:ascii="宋体" w:hAnsi="宋体" w:cs="宋体"/>
                <w:sz w:val="15"/>
                <w:szCs w:val="15"/>
              </w:rPr>
            </w:pPr>
            <w:r>
              <w:rPr>
                <w:rFonts w:ascii="宋体" w:hAnsi="宋体" w:cs="宋体" w:hint="eastAsia"/>
                <w:sz w:val="15"/>
                <w:szCs w:val="15"/>
              </w:rPr>
              <w:t>100,006</w:t>
            </w:r>
          </w:p>
        </w:tc>
        <w:tc>
          <w:tcPr>
            <w:tcW w:w="1551" w:type="dxa"/>
          </w:tcPr>
          <w:p w:rsidR="00267762" w:rsidRDefault="00267762" w:rsidP="002A4679">
            <w:pPr>
              <w:jc w:val="center"/>
              <w:rPr>
                <w:rFonts w:ascii="宋体" w:hAnsi="宋体" w:cs="宋体"/>
                <w:sz w:val="15"/>
                <w:szCs w:val="15"/>
              </w:rPr>
            </w:pPr>
            <w:r>
              <w:rPr>
                <w:rFonts w:ascii="宋体" w:hAnsi="宋体" w:cs="宋体" w:hint="eastAsia"/>
                <w:sz w:val="15"/>
                <w:szCs w:val="15"/>
              </w:rPr>
              <w:t>7.00</w:t>
            </w:r>
          </w:p>
        </w:tc>
      </w:tr>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本周四（赎回确认日）</w:t>
            </w:r>
          </w:p>
        </w:tc>
        <w:tc>
          <w:tcPr>
            <w:tcW w:w="1201" w:type="dxa"/>
          </w:tcPr>
          <w:p w:rsidR="00267762" w:rsidRDefault="00267762" w:rsidP="002A4679">
            <w:pPr>
              <w:jc w:val="center"/>
              <w:rPr>
                <w:rFonts w:ascii="宋体" w:hAnsi="宋体" w:cs="宋体"/>
                <w:sz w:val="15"/>
                <w:szCs w:val="15"/>
              </w:rPr>
            </w:pPr>
            <w:r>
              <w:rPr>
                <w:rFonts w:ascii="宋体" w:hAnsi="宋体" w:cs="宋体" w:hint="eastAsia"/>
                <w:sz w:val="15"/>
                <w:szCs w:val="15"/>
              </w:rPr>
              <w:t>13</w:t>
            </w:r>
          </w:p>
        </w:tc>
        <w:tc>
          <w:tcPr>
            <w:tcW w:w="1551" w:type="dxa"/>
          </w:tcPr>
          <w:p w:rsidR="00267762" w:rsidRDefault="00267762" w:rsidP="002A4679">
            <w:pPr>
              <w:jc w:val="center"/>
              <w:rPr>
                <w:rFonts w:ascii="宋体" w:hAnsi="宋体" w:cs="宋体"/>
                <w:sz w:val="15"/>
                <w:szCs w:val="15"/>
              </w:rPr>
            </w:pPr>
            <w:r>
              <w:rPr>
                <w:rFonts w:ascii="宋体" w:hAnsi="宋体" w:cs="宋体" w:hint="eastAsia"/>
                <w:sz w:val="15"/>
                <w:szCs w:val="15"/>
              </w:rPr>
              <w:t>0.00</w:t>
            </w:r>
          </w:p>
        </w:tc>
      </w:tr>
      <w:tr w:rsidR="00267762" w:rsidTr="002A4679">
        <w:trPr>
          <w:jc w:val="center"/>
        </w:trPr>
        <w:tc>
          <w:tcPr>
            <w:tcW w:w="2683" w:type="dxa"/>
          </w:tcPr>
          <w:p w:rsidR="00267762" w:rsidRDefault="00267762" w:rsidP="002A4679">
            <w:pPr>
              <w:rPr>
                <w:rFonts w:ascii="宋体" w:hAnsi="宋体" w:cs="宋体"/>
                <w:sz w:val="15"/>
                <w:szCs w:val="15"/>
              </w:rPr>
            </w:pPr>
            <w:r>
              <w:rPr>
                <w:rFonts w:ascii="宋体" w:hAnsi="宋体" w:cs="宋体" w:hint="eastAsia"/>
                <w:sz w:val="15"/>
                <w:szCs w:val="15"/>
              </w:rPr>
              <w:t>本周五</w:t>
            </w:r>
          </w:p>
        </w:tc>
        <w:tc>
          <w:tcPr>
            <w:tcW w:w="1201" w:type="dxa"/>
          </w:tcPr>
          <w:p w:rsidR="00267762" w:rsidRDefault="00267762" w:rsidP="002A4679">
            <w:pPr>
              <w:jc w:val="center"/>
              <w:rPr>
                <w:rFonts w:ascii="宋体" w:hAnsi="宋体" w:cs="宋体"/>
                <w:sz w:val="15"/>
                <w:szCs w:val="15"/>
              </w:rPr>
            </w:pPr>
            <w:r>
              <w:rPr>
                <w:rFonts w:ascii="宋体" w:hAnsi="宋体" w:cs="宋体" w:hint="eastAsia"/>
                <w:sz w:val="15"/>
                <w:szCs w:val="15"/>
              </w:rPr>
              <w:t>13</w:t>
            </w:r>
          </w:p>
        </w:tc>
        <w:tc>
          <w:tcPr>
            <w:tcW w:w="1551" w:type="dxa"/>
          </w:tcPr>
          <w:p w:rsidR="00267762" w:rsidRDefault="00267762" w:rsidP="002A4679">
            <w:pPr>
              <w:jc w:val="center"/>
              <w:rPr>
                <w:rFonts w:ascii="宋体" w:hAnsi="宋体" w:cs="宋体"/>
                <w:sz w:val="15"/>
                <w:szCs w:val="15"/>
              </w:rPr>
            </w:pPr>
          </w:p>
        </w:tc>
      </w:tr>
    </w:tbl>
    <w:p w:rsidR="00267762" w:rsidRDefault="00267762" w:rsidP="00267762">
      <w:pPr>
        <w:widowControl/>
        <w:spacing w:line="200" w:lineRule="exact"/>
        <w:ind w:firstLineChars="200" w:firstLine="300"/>
        <w:jc w:val="left"/>
        <w:rPr>
          <w:rFonts w:ascii="宋体" w:hAnsi="宋体" w:cs="宋体"/>
          <w:kern w:val="0"/>
          <w:sz w:val="15"/>
          <w:szCs w:val="11"/>
        </w:rPr>
      </w:pP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情景2：</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投资者在本周一15:30-24:00申购了100,000元，则申购确认日为本周三，本周三持有100,000份；在本周四0:00-15:30赎回了50,000份，则赎回确认日为本周五。本周三至本周五的万份收益为0.9000、1.0000和1.1000。</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本周三产生的收益转份额数为100,000/10,000*0.9000=9.00份，计入本周四的投资者份额中（本周四投资者的份额为100,009份）；本周四产生的收益转份额数为100,009/10,000*1.0000=10.00份，计入本周五的投资者份额中（本周五投资者的份额为100,019-50,000=50,019份）；下周三（含）前50,000元赎回资金到账。</w:t>
      </w:r>
    </w:p>
    <w:tbl>
      <w:tblPr>
        <w:tblStyle w:val="aa"/>
        <w:tblW w:w="6510" w:type="dxa"/>
        <w:jc w:val="center"/>
        <w:tblLayout w:type="fixed"/>
        <w:tblLook w:val="04A0"/>
      </w:tblPr>
      <w:tblGrid>
        <w:gridCol w:w="2481"/>
        <w:gridCol w:w="1340"/>
        <w:gridCol w:w="2689"/>
      </w:tblGrid>
      <w:tr w:rsidR="00267762" w:rsidTr="002A4679">
        <w:trPr>
          <w:trHeight w:val="325"/>
          <w:jc w:val="center"/>
        </w:trPr>
        <w:tc>
          <w:tcPr>
            <w:tcW w:w="2481" w:type="dxa"/>
          </w:tcPr>
          <w:p w:rsidR="00267762" w:rsidRDefault="00267762" w:rsidP="002A4679">
            <w:pPr>
              <w:jc w:val="center"/>
              <w:rPr>
                <w:rFonts w:ascii="宋体" w:hAnsi="宋体" w:cs="宋体"/>
                <w:sz w:val="15"/>
                <w:szCs w:val="18"/>
              </w:rPr>
            </w:pPr>
            <w:r>
              <w:rPr>
                <w:rFonts w:ascii="宋体" w:hAnsi="宋体" w:cs="宋体" w:hint="eastAsia"/>
                <w:sz w:val="15"/>
                <w:szCs w:val="18"/>
              </w:rPr>
              <w:t>时间</w:t>
            </w:r>
          </w:p>
        </w:tc>
        <w:tc>
          <w:tcPr>
            <w:tcW w:w="1340" w:type="dxa"/>
          </w:tcPr>
          <w:p w:rsidR="00267762" w:rsidRDefault="00267762" w:rsidP="002A4679">
            <w:pPr>
              <w:jc w:val="center"/>
              <w:rPr>
                <w:rFonts w:ascii="宋体" w:hAnsi="宋体" w:cs="宋体"/>
                <w:sz w:val="15"/>
                <w:szCs w:val="18"/>
              </w:rPr>
            </w:pPr>
            <w:r>
              <w:rPr>
                <w:rFonts w:ascii="宋体" w:hAnsi="宋体" w:cs="宋体" w:hint="eastAsia"/>
                <w:sz w:val="15"/>
                <w:szCs w:val="18"/>
              </w:rPr>
              <w:t>投资者份额：份</w:t>
            </w:r>
          </w:p>
        </w:tc>
        <w:tc>
          <w:tcPr>
            <w:tcW w:w="2689" w:type="dxa"/>
          </w:tcPr>
          <w:p w:rsidR="00267762" w:rsidRDefault="00267762" w:rsidP="002A4679">
            <w:pPr>
              <w:jc w:val="center"/>
              <w:rPr>
                <w:rFonts w:ascii="宋体" w:hAnsi="宋体" w:cs="宋体"/>
                <w:sz w:val="15"/>
                <w:szCs w:val="18"/>
              </w:rPr>
            </w:pPr>
            <w:r>
              <w:rPr>
                <w:rFonts w:ascii="宋体" w:hAnsi="宋体" w:cs="宋体" w:hint="eastAsia"/>
                <w:sz w:val="15"/>
                <w:szCs w:val="18"/>
              </w:rPr>
              <w:t>收益转份额：份</w:t>
            </w:r>
          </w:p>
        </w:tc>
      </w:tr>
      <w:tr w:rsidR="00267762" w:rsidTr="002A4679">
        <w:trPr>
          <w:trHeight w:val="325"/>
          <w:jc w:val="center"/>
        </w:trPr>
        <w:tc>
          <w:tcPr>
            <w:tcW w:w="2481" w:type="dxa"/>
          </w:tcPr>
          <w:p w:rsidR="00267762" w:rsidRDefault="00267762" w:rsidP="002A4679">
            <w:pPr>
              <w:jc w:val="center"/>
              <w:rPr>
                <w:rFonts w:ascii="宋体" w:hAnsi="宋体" w:cs="宋体"/>
                <w:sz w:val="15"/>
                <w:szCs w:val="18"/>
              </w:rPr>
            </w:pPr>
            <w:r>
              <w:rPr>
                <w:rFonts w:ascii="宋体" w:hAnsi="宋体" w:cs="宋体" w:hint="eastAsia"/>
                <w:sz w:val="15"/>
                <w:szCs w:val="18"/>
              </w:rPr>
              <w:t>本周二</w:t>
            </w:r>
          </w:p>
        </w:tc>
        <w:tc>
          <w:tcPr>
            <w:tcW w:w="1340" w:type="dxa"/>
          </w:tcPr>
          <w:p w:rsidR="00267762" w:rsidRDefault="00267762" w:rsidP="002A4679">
            <w:pPr>
              <w:jc w:val="center"/>
              <w:rPr>
                <w:rFonts w:ascii="宋体" w:hAnsi="宋体" w:cs="宋体"/>
                <w:sz w:val="15"/>
                <w:szCs w:val="18"/>
              </w:rPr>
            </w:pPr>
            <w:r>
              <w:rPr>
                <w:rFonts w:ascii="宋体" w:hAnsi="宋体" w:cs="宋体" w:hint="eastAsia"/>
                <w:sz w:val="15"/>
                <w:szCs w:val="18"/>
              </w:rPr>
              <w:t>0</w:t>
            </w:r>
          </w:p>
        </w:tc>
        <w:tc>
          <w:tcPr>
            <w:tcW w:w="2689" w:type="dxa"/>
          </w:tcPr>
          <w:p w:rsidR="00267762" w:rsidRDefault="00267762" w:rsidP="002A4679">
            <w:pPr>
              <w:jc w:val="center"/>
              <w:rPr>
                <w:rFonts w:ascii="宋体" w:hAnsi="宋体" w:cs="宋体"/>
                <w:sz w:val="15"/>
                <w:szCs w:val="18"/>
              </w:rPr>
            </w:pPr>
          </w:p>
        </w:tc>
      </w:tr>
      <w:tr w:rsidR="00267762" w:rsidTr="002A4679">
        <w:trPr>
          <w:trHeight w:val="325"/>
          <w:jc w:val="center"/>
        </w:trPr>
        <w:tc>
          <w:tcPr>
            <w:tcW w:w="2481" w:type="dxa"/>
          </w:tcPr>
          <w:p w:rsidR="00267762" w:rsidRDefault="00267762" w:rsidP="002A4679">
            <w:pPr>
              <w:jc w:val="center"/>
              <w:rPr>
                <w:rFonts w:ascii="宋体" w:hAnsi="宋体" w:cs="宋体"/>
                <w:sz w:val="15"/>
                <w:szCs w:val="18"/>
              </w:rPr>
            </w:pPr>
            <w:r>
              <w:rPr>
                <w:rFonts w:ascii="宋体" w:hAnsi="宋体" w:cs="宋体" w:hint="eastAsia"/>
                <w:sz w:val="15"/>
                <w:szCs w:val="18"/>
              </w:rPr>
              <w:t>本周三（申购确认日）</w:t>
            </w:r>
          </w:p>
        </w:tc>
        <w:tc>
          <w:tcPr>
            <w:tcW w:w="1340" w:type="dxa"/>
          </w:tcPr>
          <w:p w:rsidR="00267762" w:rsidRDefault="00267762" w:rsidP="002A4679">
            <w:pPr>
              <w:jc w:val="center"/>
              <w:rPr>
                <w:rFonts w:ascii="宋体" w:hAnsi="宋体" w:cs="宋体"/>
                <w:sz w:val="15"/>
                <w:szCs w:val="18"/>
              </w:rPr>
            </w:pPr>
            <w:r>
              <w:rPr>
                <w:rFonts w:ascii="宋体" w:hAnsi="宋体" w:cs="宋体" w:hint="eastAsia"/>
                <w:sz w:val="15"/>
                <w:szCs w:val="18"/>
              </w:rPr>
              <w:t>100,000</w:t>
            </w:r>
          </w:p>
        </w:tc>
        <w:tc>
          <w:tcPr>
            <w:tcW w:w="2689" w:type="dxa"/>
          </w:tcPr>
          <w:p w:rsidR="00267762" w:rsidRDefault="00267762" w:rsidP="002A4679">
            <w:pPr>
              <w:jc w:val="center"/>
              <w:rPr>
                <w:rFonts w:ascii="宋体" w:hAnsi="宋体" w:cs="宋体"/>
                <w:sz w:val="15"/>
                <w:szCs w:val="18"/>
              </w:rPr>
            </w:pPr>
            <w:r>
              <w:rPr>
                <w:rFonts w:ascii="宋体" w:hAnsi="宋体" w:cs="宋体" w:hint="eastAsia"/>
                <w:sz w:val="15"/>
                <w:szCs w:val="18"/>
              </w:rPr>
              <w:t>9.00</w:t>
            </w:r>
          </w:p>
        </w:tc>
      </w:tr>
      <w:tr w:rsidR="00267762" w:rsidTr="002A4679">
        <w:trPr>
          <w:trHeight w:val="325"/>
          <w:jc w:val="center"/>
        </w:trPr>
        <w:tc>
          <w:tcPr>
            <w:tcW w:w="2481" w:type="dxa"/>
          </w:tcPr>
          <w:p w:rsidR="00267762" w:rsidRDefault="00267762" w:rsidP="002A4679">
            <w:pPr>
              <w:jc w:val="center"/>
              <w:rPr>
                <w:rFonts w:ascii="宋体" w:hAnsi="宋体" w:cs="宋体"/>
                <w:sz w:val="15"/>
                <w:szCs w:val="18"/>
              </w:rPr>
            </w:pPr>
            <w:r>
              <w:rPr>
                <w:rFonts w:ascii="宋体" w:hAnsi="宋体" w:cs="宋体" w:hint="eastAsia"/>
                <w:sz w:val="15"/>
                <w:szCs w:val="18"/>
              </w:rPr>
              <w:t>本周四</w:t>
            </w:r>
          </w:p>
        </w:tc>
        <w:tc>
          <w:tcPr>
            <w:tcW w:w="1340" w:type="dxa"/>
          </w:tcPr>
          <w:p w:rsidR="00267762" w:rsidRDefault="00267762" w:rsidP="002A4679">
            <w:pPr>
              <w:jc w:val="center"/>
              <w:rPr>
                <w:rFonts w:ascii="宋体" w:hAnsi="宋体" w:cs="宋体"/>
                <w:sz w:val="15"/>
                <w:szCs w:val="18"/>
              </w:rPr>
            </w:pPr>
            <w:r>
              <w:rPr>
                <w:rFonts w:ascii="宋体" w:hAnsi="宋体" w:cs="宋体" w:hint="eastAsia"/>
                <w:sz w:val="15"/>
                <w:szCs w:val="18"/>
              </w:rPr>
              <w:t>100,009</w:t>
            </w:r>
          </w:p>
        </w:tc>
        <w:tc>
          <w:tcPr>
            <w:tcW w:w="2689" w:type="dxa"/>
          </w:tcPr>
          <w:p w:rsidR="00267762" w:rsidRDefault="00267762" w:rsidP="002A4679">
            <w:pPr>
              <w:jc w:val="center"/>
              <w:rPr>
                <w:rFonts w:ascii="宋体" w:hAnsi="宋体" w:cs="宋体"/>
                <w:sz w:val="15"/>
                <w:szCs w:val="18"/>
              </w:rPr>
            </w:pPr>
            <w:r>
              <w:rPr>
                <w:rFonts w:ascii="宋体" w:hAnsi="宋体" w:cs="宋体" w:hint="eastAsia"/>
                <w:sz w:val="15"/>
                <w:szCs w:val="18"/>
              </w:rPr>
              <w:t>10.00</w:t>
            </w:r>
          </w:p>
        </w:tc>
      </w:tr>
      <w:tr w:rsidR="00267762" w:rsidTr="002A4679">
        <w:trPr>
          <w:trHeight w:val="325"/>
          <w:jc w:val="center"/>
        </w:trPr>
        <w:tc>
          <w:tcPr>
            <w:tcW w:w="2481" w:type="dxa"/>
          </w:tcPr>
          <w:p w:rsidR="00267762" w:rsidRDefault="00267762" w:rsidP="002A4679">
            <w:pPr>
              <w:jc w:val="center"/>
              <w:rPr>
                <w:rFonts w:ascii="宋体" w:hAnsi="宋体" w:cs="宋体"/>
                <w:sz w:val="15"/>
                <w:szCs w:val="18"/>
              </w:rPr>
            </w:pPr>
            <w:r>
              <w:rPr>
                <w:rFonts w:ascii="宋体" w:hAnsi="宋体" w:cs="宋体" w:hint="eastAsia"/>
                <w:sz w:val="15"/>
                <w:szCs w:val="18"/>
              </w:rPr>
              <w:t>本周五（赎回确认日）</w:t>
            </w:r>
          </w:p>
        </w:tc>
        <w:tc>
          <w:tcPr>
            <w:tcW w:w="1340" w:type="dxa"/>
          </w:tcPr>
          <w:p w:rsidR="00267762" w:rsidRDefault="00267762" w:rsidP="002A4679">
            <w:pPr>
              <w:jc w:val="center"/>
              <w:rPr>
                <w:rFonts w:ascii="宋体" w:hAnsi="宋体" w:cs="宋体"/>
                <w:sz w:val="15"/>
                <w:szCs w:val="18"/>
              </w:rPr>
            </w:pPr>
            <w:r>
              <w:rPr>
                <w:rFonts w:ascii="宋体" w:hAnsi="宋体" w:cs="宋体" w:hint="eastAsia"/>
                <w:sz w:val="15"/>
                <w:szCs w:val="18"/>
              </w:rPr>
              <w:t>50,019</w:t>
            </w:r>
          </w:p>
        </w:tc>
        <w:tc>
          <w:tcPr>
            <w:tcW w:w="2689" w:type="dxa"/>
          </w:tcPr>
          <w:p w:rsidR="00267762" w:rsidRDefault="00267762" w:rsidP="002A4679">
            <w:pPr>
              <w:jc w:val="center"/>
              <w:rPr>
                <w:rFonts w:ascii="宋体" w:hAnsi="宋体" w:cs="宋体"/>
                <w:sz w:val="15"/>
                <w:szCs w:val="18"/>
              </w:rPr>
            </w:pPr>
          </w:p>
        </w:tc>
      </w:tr>
    </w:tbl>
    <w:p w:rsidR="00267762" w:rsidRDefault="00267762" w:rsidP="00267762">
      <w:pPr>
        <w:widowControl/>
        <w:spacing w:line="200" w:lineRule="exact"/>
        <w:ind w:firstLineChars="200" w:firstLine="300"/>
        <w:jc w:val="left"/>
        <w:rPr>
          <w:rFonts w:ascii="宋体" w:hAnsi="宋体" w:cs="宋体"/>
          <w:kern w:val="0"/>
          <w:sz w:val="15"/>
          <w:szCs w:val="11"/>
        </w:rPr>
      </w:pP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情景3：</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投资者在本周一0:00-15:30申购了100,000元，则申购确认日为本周二，本周二持有100,000份；在本周三15:30-24:00赎回了50,000份，则赎回确认日为本周五。本周二至本周五的万份收益为0.3000、0.4000、0.5000和0.6000。本周二的收益转份额数为100,000/10,000*0.3000=3.00份，计入本周三的投资者份额中（本周三投资者的份额为100,003份）；本周三产生的收益转份额数为100,003/10,000*0.4000=4.00份，计入本周四的投资者份额中（本周四投资者的份额为100,007份）；本周四产生的收益转份额数为100,007/10,000*0.5000=5.00份，计入本周五的投资者份额中（本周五投资者的份额为100,012-50,000=50,012份）。下周三（含）前50,000元赎回资金到账。</w:t>
      </w:r>
    </w:p>
    <w:tbl>
      <w:tblPr>
        <w:tblStyle w:val="aa"/>
        <w:tblW w:w="5812" w:type="dxa"/>
        <w:jc w:val="center"/>
        <w:tblLayout w:type="fixed"/>
        <w:tblLook w:val="04A0"/>
      </w:tblPr>
      <w:tblGrid>
        <w:gridCol w:w="1794"/>
        <w:gridCol w:w="1336"/>
        <w:gridCol w:w="2682"/>
      </w:tblGrid>
      <w:tr w:rsidR="00267762" w:rsidTr="002A4679">
        <w:trPr>
          <w:trHeight w:val="321"/>
          <w:jc w:val="center"/>
        </w:trPr>
        <w:tc>
          <w:tcPr>
            <w:tcW w:w="1794" w:type="dxa"/>
          </w:tcPr>
          <w:p w:rsidR="00267762" w:rsidRDefault="00267762" w:rsidP="002A4679">
            <w:pPr>
              <w:rPr>
                <w:sz w:val="15"/>
                <w:szCs w:val="15"/>
              </w:rPr>
            </w:pPr>
            <w:r>
              <w:rPr>
                <w:rFonts w:hint="eastAsia"/>
                <w:sz w:val="15"/>
                <w:szCs w:val="15"/>
              </w:rPr>
              <w:t>时间</w:t>
            </w:r>
          </w:p>
        </w:tc>
        <w:tc>
          <w:tcPr>
            <w:tcW w:w="1336" w:type="dxa"/>
          </w:tcPr>
          <w:p w:rsidR="00267762" w:rsidRDefault="00267762" w:rsidP="002A4679">
            <w:pPr>
              <w:rPr>
                <w:sz w:val="15"/>
                <w:szCs w:val="15"/>
              </w:rPr>
            </w:pPr>
            <w:r>
              <w:rPr>
                <w:rFonts w:hint="eastAsia"/>
                <w:sz w:val="15"/>
                <w:szCs w:val="15"/>
              </w:rPr>
              <w:t>投资者份额：份</w:t>
            </w:r>
          </w:p>
        </w:tc>
        <w:tc>
          <w:tcPr>
            <w:tcW w:w="2682" w:type="dxa"/>
          </w:tcPr>
          <w:p w:rsidR="00267762" w:rsidRDefault="00267762" w:rsidP="002A4679">
            <w:pPr>
              <w:rPr>
                <w:sz w:val="15"/>
                <w:szCs w:val="15"/>
              </w:rPr>
            </w:pPr>
            <w:r>
              <w:rPr>
                <w:rFonts w:hint="eastAsia"/>
                <w:sz w:val="15"/>
                <w:szCs w:val="15"/>
              </w:rPr>
              <w:t>收益转份额：份</w:t>
            </w:r>
          </w:p>
        </w:tc>
      </w:tr>
      <w:tr w:rsidR="00267762" w:rsidTr="002A4679">
        <w:trPr>
          <w:trHeight w:val="321"/>
          <w:jc w:val="center"/>
        </w:trPr>
        <w:tc>
          <w:tcPr>
            <w:tcW w:w="1794" w:type="dxa"/>
          </w:tcPr>
          <w:p w:rsidR="00267762" w:rsidRDefault="00267762" w:rsidP="002A4679">
            <w:pPr>
              <w:rPr>
                <w:sz w:val="15"/>
                <w:szCs w:val="15"/>
              </w:rPr>
            </w:pPr>
            <w:r>
              <w:rPr>
                <w:rFonts w:hint="eastAsia"/>
                <w:sz w:val="15"/>
                <w:szCs w:val="15"/>
              </w:rPr>
              <w:t>本周一</w:t>
            </w:r>
          </w:p>
        </w:tc>
        <w:tc>
          <w:tcPr>
            <w:tcW w:w="1336" w:type="dxa"/>
          </w:tcPr>
          <w:p w:rsidR="00267762" w:rsidRDefault="00267762" w:rsidP="002A4679">
            <w:pPr>
              <w:jc w:val="center"/>
              <w:rPr>
                <w:rFonts w:ascii="宋体" w:hAnsi="宋体" w:cs="宋体"/>
                <w:sz w:val="15"/>
                <w:szCs w:val="15"/>
              </w:rPr>
            </w:pPr>
            <w:r>
              <w:rPr>
                <w:rFonts w:ascii="宋体" w:hAnsi="宋体" w:cs="宋体" w:hint="eastAsia"/>
                <w:sz w:val="15"/>
                <w:szCs w:val="15"/>
              </w:rPr>
              <w:t>0</w:t>
            </w:r>
          </w:p>
        </w:tc>
        <w:tc>
          <w:tcPr>
            <w:tcW w:w="2682" w:type="dxa"/>
          </w:tcPr>
          <w:p w:rsidR="00267762" w:rsidRDefault="00267762" w:rsidP="002A4679">
            <w:pPr>
              <w:jc w:val="center"/>
              <w:rPr>
                <w:rFonts w:ascii="宋体" w:hAnsi="宋体" w:cs="宋体"/>
                <w:sz w:val="15"/>
                <w:szCs w:val="15"/>
              </w:rPr>
            </w:pPr>
          </w:p>
        </w:tc>
      </w:tr>
      <w:tr w:rsidR="00267762" w:rsidTr="002A4679">
        <w:trPr>
          <w:trHeight w:val="321"/>
          <w:jc w:val="center"/>
        </w:trPr>
        <w:tc>
          <w:tcPr>
            <w:tcW w:w="1794" w:type="dxa"/>
          </w:tcPr>
          <w:p w:rsidR="00267762" w:rsidRDefault="00267762" w:rsidP="002A4679">
            <w:pPr>
              <w:rPr>
                <w:sz w:val="15"/>
                <w:szCs w:val="15"/>
              </w:rPr>
            </w:pPr>
            <w:r>
              <w:rPr>
                <w:rFonts w:hint="eastAsia"/>
                <w:sz w:val="15"/>
                <w:szCs w:val="15"/>
              </w:rPr>
              <w:t>本周二（申购确认日）</w:t>
            </w:r>
          </w:p>
        </w:tc>
        <w:tc>
          <w:tcPr>
            <w:tcW w:w="1336" w:type="dxa"/>
          </w:tcPr>
          <w:p w:rsidR="00267762" w:rsidRDefault="00267762" w:rsidP="002A4679">
            <w:pPr>
              <w:jc w:val="center"/>
              <w:rPr>
                <w:rFonts w:ascii="宋体" w:hAnsi="宋体" w:cs="宋体"/>
                <w:sz w:val="15"/>
                <w:szCs w:val="15"/>
              </w:rPr>
            </w:pPr>
            <w:r>
              <w:rPr>
                <w:rFonts w:ascii="宋体" w:hAnsi="宋体" w:cs="宋体" w:hint="eastAsia"/>
                <w:sz w:val="15"/>
                <w:szCs w:val="15"/>
              </w:rPr>
              <w:t>100,000</w:t>
            </w:r>
          </w:p>
        </w:tc>
        <w:tc>
          <w:tcPr>
            <w:tcW w:w="2682" w:type="dxa"/>
          </w:tcPr>
          <w:p w:rsidR="00267762" w:rsidRDefault="00267762" w:rsidP="002A4679">
            <w:pPr>
              <w:jc w:val="center"/>
              <w:rPr>
                <w:rFonts w:ascii="宋体" w:hAnsi="宋体" w:cs="宋体"/>
                <w:sz w:val="15"/>
                <w:szCs w:val="15"/>
              </w:rPr>
            </w:pPr>
            <w:r>
              <w:rPr>
                <w:rFonts w:ascii="宋体" w:hAnsi="宋体" w:cs="宋体" w:hint="eastAsia"/>
                <w:sz w:val="15"/>
                <w:szCs w:val="15"/>
              </w:rPr>
              <w:t>3.00</w:t>
            </w:r>
          </w:p>
        </w:tc>
      </w:tr>
      <w:tr w:rsidR="00267762" w:rsidTr="002A4679">
        <w:trPr>
          <w:trHeight w:val="321"/>
          <w:jc w:val="center"/>
        </w:trPr>
        <w:tc>
          <w:tcPr>
            <w:tcW w:w="1794" w:type="dxa"/>
          </w:tcPr>
          <w:p w:rsidR="00267762" w:rsidRDefault="00267762" w:rsidP="002A4679">
            <w:pPr>
              <w:rPr>
                <w:sz w:val="15"/>
                <w:szCs w:val="15"/>
              </w:rPr>
            </w:pPr>
            <w:r>
              <w:rPr>
                <w:rFonts w:hint="eastAsia"/>
                <w:sz w:val="15"/>
                <w:szCs w:val="15"/>
              </w:rPr>
              <w:t>本周三</w:t>
            </w:r>
          </w:p>
        </w:tc>
        <w:tc>
          <w:tcPr>
            <w:tcW w:w="1336" w:type="dxa"/>
          </w:tcPr>
          <w:p w:rsidR="00267762" w:rsidRDefault="00267762" w:rsidP="002A4679">
            <w:pPr>
              <w:jc w:val="center"/>
              <w:rPr>
                <w:rFonts w:ascii="宋体" w:hAnsi="宋体" w:cs="宋体"/>
                <w:sz w:val="15"/>
                <w:szCs w:val="15"/>
              </w:rPr>
            </w:pPr>
            <w:r>
              <w:rPr>
                <w:rFonts w:ascii="宋体" w:hAnsi="宋体" w:cs="宋体" w:hint="eastAsia"/>
                <w:sz w:val="15"/>
                <w:szCs w:val="15"/>
              </w:rPr>
              <w:t>100,003</w:t>
            </w:r>
          </w:p>
        </w:tc>
        <w:tc>
          <w:tcPr>
            <w:tcW w:w="2682" w:type="dxa"/>
          </w:tcPr>
          <w:p w:rsidR="00267762" w:rsidRDefault="00267762" w:rsidP="002A4679">
            <w:pPr>
              <w:jc w:val="center"/>
              <w:rPr>
                <w:rFonts w:ascii="宋体" w:hAnsi="宋体" w:cs="宋体"/>
                <w:sz w:val="15"/>
                <w:szCs w:val="15"/>
              </w:rPr>
            </w:pPr>
            <w:r>
              <w:rPr>
                <w:rFonts w:ascii="宋体" w:hAnsi="宋体" w:cs="宋体" w:hint="eastAsia"/>
                <w:sz w:val="15"/>
                <w:szCs w:val="15"/>
              </w:rPr>
              <w:t>4.00</w:t>
            </w:r>
          </w:p>
        </w:tc>
      </w:tr>
      <w:tr w:rsidR="00267762" w:rsidTr="002A4679">
        <w:trPr>
          <w:trHeight w:val="321"/>
          <w:jc w:val="center"/>
        </w:trPr>
        <w:tc>
          <w:tcPr>
            <w:tcW w:w="1794" w:type="dxa"/>
          </w:tcPr>
          <w:p w:rsidR="00267762" w:rsidRDefault="00267762" w:rsidP="002A4679">
            <w:pPr>
              <w:rPr>
                <w:sz w:val="15"/>
                <w:szCs w:val="15"/>
              </w:rPr>
            </w:pPr>
            <w:r>
              <w:rPr>
                <w:rFonts w:hint="eastAsia"/>
                <w:sz w:val="15"/>
                <w:szCs w:val="15"/>
              </w:rPr>
              <w:t>本周四</w:t>
            </w:r>
          </w:p>
        </w:tc>
        <w:tc>
          <w:tcPr>
            <w:tcW w:w="1336" w:type="dxa"/>
          </w:tcPr>
          <w:p w:rsidR="00267762" w:rsidRDefault="00267762" w:rsidP="002A4679">
            <w:pPr>
              <w:jc w:val="center"/>
              <w:rPr>
                <w:rFonts w:ascii="宋体" w:hAnsi="宋体" w:cs="宋体"/>
                <w:sz w:val="15"/>
                <w:szCs w:val="15"/>
              </w:rPr>
            </w:pPr>
            <w:r>
              <w:rPr>
                <w:rFonts w:ascii="宋体" w:hAnsi="宋体" w:cs="宋体" w:hint="eastAsia"/>
                <w:sz w:val="15"/>
                <w:szCs w:val="15"/>
              </w:rPr>
              <w:t>100,007</w:t>
            </w:r>
          </w:p>
        </w:tc>
        <w:tc>
          <w:tcPr>
            <w:tcW w:w="2682" w:type="dxa"/>
          </w:tcPr>
          <w:p w:rsidR="00267762" w:rsidRDefault="00267762" w:rsidP="002A4679">
            <w:pPr>
              <w:jc w:val="center"/>
              <w:rPr>
                <w:rFonts w:ascii="宋体" w:hAnsi="宋体" w:cs="宋体"/>
                <w:sz w:val="15"/>
                <w:szCs w:val="15"/>
              </w:rPr>
            </w:pPr>
            <w:r>
              <w:rPr>
                <w:rFonts w:ascii="宋体" w:hAnsi="宋体" w:cs="宋体" w:hint="eastAsia"/>
                <w:sz w:val="15"/>
                <w:szCs w:val="15"/>
              </w:rPr>
              <w:t>5.00</w:t>
            </w:r>
          </w:p>
        </w:tc>
      </w:tr>
      <w:tr w:rsidR="00267762" w:rsidTr="002A4679">
        <w:trPr>
          <w:trHeight w:val="330"/>
          <w:jc w:val="center"/>
        </w:trPr>
        <w:tc>
          <w:tcPr>
            <w:tcW w:w="1794" w:type="dxa"/>
          </w:tcPr>
          <w:p w:rsidR="00267762" w:rsidRDefault="00267762" w:rsidP="002A4679">
            <w:pPr>
              <w:rPr>
                <w:sz w:val="15"/>
                <w:szCs w:val="15"/>
              </w:rPr>
            </w:pPr>
            <w:r>
              <w:rPr>
                <w:rFonts w:hint="eastAsia"/>
                <w:sz w:val="15"/>
                <w:szCs w:val="15"/>
              </w:rPr>
              <w:t>本周五（赎回确认日）</w:t>
            </w:r>
          </w:p>
        </w:tc>
        <w:tc>
          <w:tcPr>
            <w:tcW w:w="1336" w:type="dxa"/>
          </w:tcPr>
          <w:p w:rsidR="00267762" w:rsidRDefault="00267762" w:rsidP="002A4679">
            <w:pPr>
              <w:jc w:val="center"/>
              <w:rPr>
                <w:rFonts w:ascii="宋体" w:hAnsi="宋体" w:cs="宋体"/>
                <w:sz w:val="15"/>
                <w:szCs w:val="15"/>
              </w:rPr>
            </w:pPr>
            <w:r>
              <w:rPr>
                <w:rFonts w:ascii="宋体" w:hAnsi="宋体" w:cs="宋体" w:hint="eastAsia"/>
                <w:sz w:val="15"/>
                <w:szCs w:val="15"/>
              </w:rPr>
              <w:t>50,012</w:t>
            </w:r>
          </w:p>
        </w:tc>
        <w:tc>
          <w:tcPr>
            <w:tcW w:w="2682" w:type="dxa"/>
          </w:tcPr>
          <w:p w:rsidR="00267762" w:rsidRDefault="00267762" w:rsidP="002A4679">
            <w:pPr>
              <w:jc w:val="center"/>
              <w:rPr>
                <w:rFonts w:ascii="宋体" w:hAnsi="宋体" w:cs="宋体"/>
                <w:sz w:val="15"/>
                <w:szCs w:val="15"/>
              </w:rPr>
            </w:pPr>
          </w:p>
        </w:tc>
      </w:tr>
    </w:tbl>
    <w:p w:rsidR="00267762" w:rsidRDefault="00267762" w:rsidP="00267762">
      <w:pPr>
        <w:widowControl/>
        <w:spacing w:line="200" w:lineRule="exact"/>
        <w:ind w:firstLineChars="200" w:firstLine="301"/>
        <w:jc w:val="left"/>
        <w:rPr>
          <w:rFonts w:ascii="宋体" w:hAnsi="宋体" w:cs="宋体"/>
          <w:kern w:val="0"/>
          <w:sz w:val="15"/>
          <w:szCs w:val="11"/>
        </w:rPr>
      </w:pPr>
      <w:r>
        <w:rPr>
          <w:rFonts w:ascii="宋体" w:hAnsi="宋体" w:cs="宋体" w:hint="eastAsia"/>
          <w:b/>
          <w:bCs/>
          <w:kern w:val="0"/>
          <w:sz w:val="15"/>
          <w:szCs w:val="11"/>
        </w:rPr>
        <w:t>特别提请投资者注意的是，上述收益率测算仅为情景示例，</w:t>
      </w:r>
      <w:r>
        <w:rPr>
          <w:rFonts w:ascii="宋体" w:hAnsi="宋体" w:cs="宋体"/>
          <w:b/>
          <w:bCs/>
          <w:kern w:val="0"/>
          <w:sz w:val="15"/>
          <w:szCs w:val="11"/>
        </w:rPr>
        <w:t>不代表未来业绩，也不成为确定本理财产品预期收益率以及实现本理财产品最终收益率的可靠依据。本理财最终收益率实现将视市场情况等因素而定，敬请</w:t>
      </w:r>
      <w:r>
        <w:rPr>
          <w:rFonts w:ascii="宋体" w:hAnsi="宋体" w:cs="宋体" w:hint="eastAsia"/>
          <w:b/>
          <w:bCs/>
          <w:kern w:val="0"/>
          <w:sz w:val="15"/>
          <w:szCs w:val="11"/>
        </w:rPr>
        <w:t>投资者</w:t>
      </w:r>
      <w:r>
        <w:rPr>
          <w:rFonts w:ascii="宋体" w:hAnsi="宋体" w:cs="宋体"/>
          <w:b/>
          <w:bCs/>
          <w:kern w:val="0"/>
          <w:sz w:val="15"/>
          <w:szCs w:val="11"/>
        </w:rPr>
        <w:t>仔细判别。</w:t>
      </w:r>
    </w:p>
    <w:p w:rsidR="00267762" w:rsidRDefault="00267762" w:rsidP="00267762">
      <w:pPr>
        <w:widowControl/>
        <w:spacing w:line="200" w:lineRule="exact"/>
        <w:ind w:firstLineChars="200" w:firstLine="301"/>
        <w:jc w:val="left"/>
        <w:rPr>
          <w:rFonts w:ascii="宋体" w:hAnsi="宋体" w:cs="宋体"/>
          <w:b/>
          <w:bCs/>
          <w:kern w:val="0"/>
          <w:sz w:val="15"/>
          <w:szCs w:val="11"/>
        </w:rPr>
      </w:pPr>
      <w:r>
        <w:rPr>
          <w:rFonts w:ascii="宋体" w:hAnsi="宋体" w:cs="宋体" w:hint="eastAsia"/>
          <w:b/>
          <w:bCs/>
          <w:kern w:val="0"/>
          <w:sz w:val="15"/>
          <w:szCs w:val="11"/>
        </w:rPr>
        <w:t>风险提示：如出现资产融资人无法兑付本金等极端情况，产品运作到期后投资者无收益，并将损失全部本金。</w:t>
      </w:r>
    </w:p>
    <w:p w:rsidR="00267762" w:rsidRDefault="00267762" w:rsidP="00267762">
      <w:pPr>
        <w:widowControl/>
        <w:spacing w:line="200" w:lineRule="exact"/>
        <w:ind w:firstLine="270"/>
        <w:jc w:val="left"/>
        <w:rPr>
          <w:rFonts w:ascii="宋体" w:hAnsi="宋体" w:cs="宋体"/>
          <w:kern w:val="0"/>
          <w:sz w:val="15"/>
          <w:szCs w:val="11"/>
        </w:rPr>
      </w:pPr>
      <w:r>
        <w:rPr>
          <w:rFonts w:ascii="宋体" w:hAnsi="宋体" w:cs="宋体" w:hint="eastAsia"/>
          <w:kern w:val="0"/>
          <w:sz w:val="15"/>
          <w:szCs w:val="11"/>
        </w:rPr>
        <w:t>第五条 理财产品估值</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（一）估值日</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本理财产品每工作日进行估值。</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（二）估值对象</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本理财产品所拥有的所有金融资产及金融负债。</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（三）估值目的</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客观、准确反映理财产品的价值。</w:t>
      </w:r>
    </w:p>
    <w:p w:rsidR="00267762" w:rsidRDefault="00267762" w:rsidP="00267762">
      <w:pPr>
        <w:widowControl/>
        <w:numPr>
          <w:ilvl w:val="0"/>
          <w:numId w:val="4"/>
        </w:numPr>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估值方法</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1. 本产品估值采用“摊余成本法”，即计价对象以买入成本列示，按照票面利率或协议利率并考虑其买入时的溢价与折价，在剩余存续期内按照实际利率法摊销，每日计提损益。</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2. 为避免采用“摊余成本法”计算的产品资产净值与按市场利率和交易市价计算的产品资产净值发生重大偏离，产品管理人于每一估值日采用估值技术，对产品持有的估值对象进行重新评估，即“影子定价”，并按照监管要求监控估值偏离度，采取必要措施防止发生重大偏离。</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3. 如有充足理由表明按上述方法进行估值不能客观反映其公允价值的，产品管理人可根据具体情况与托管人商定后，按最能反映公允价值的价格估值。</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 xml:space="preserve">4. 相关法律法规以及监管部门有其他规定的，从其规定。　</w:t>
      </w:r>
    </w:p>
    <w:p w:rsidR="00267762" w:rsidRDefault="00267762" w:rsidP="00267762">
      <w:pPr>
        <w:widowControl/>
        <w:spacing w:line="200" w:lineRule="exact"/>
        <w:ind w:firstLineChars="200" w:firstLine="300"/>
        <w:jc w:val="left"/>
        <w:rPr>
          <w:rFonts w:ascii="宋体" w:hAnsi="宋体" w:cs="宋体"/>
          <w:kern w:val="0"/>
          <w:sz w:val="15"/>
          <w:szCs w:val="11"/>
        </w:rPr>
      </w:pPr>
      <w:r>
        <w:rPr>
          <w:rFonts w:ascii="宋体" w:hAnsi="宋体" w:cs="宋体" w:hint="eastAsia"/>
          <w:kern w:val="0"/>
          <w:sz w:val="15"/>
          <w:szCs w:val="11"/>
        </w:rPr>
        <w:t>第六条 银行理财资产管理自律守则</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一）构造理念：以价值投资为基础，综合对市场长期走势及短期利率波动的判断，积极主动地寻找具有较高安全性和较高收益的资产构建稳健的资产组合，以期在保持安全性和流动性的前提下，帮助投资者获取较高的收益。</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（二）基本原则</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1.合规运作：严格遵守国家有关法律法规及监管规章。</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t xml:space="preserve">　　2.分账户管理：逐期分账户封闭管理，确定本理财产品对应的专项理财资产与银行自营资产及其他代客理财资产严格分离。</w:t>
      </w:r>
    </w:p>
    <w:p w:rsidR="00267762" w:rsidRDefault="00267762" w:rsidP="00267762">
      <w:pPr>
        <w:widowControl/>
        <w:spacing w:line="200" w:lineRule="exact"/>
        <w:jc w:val="left"/>
        <w:rPr>
          <w:rFonts w:ascii="宋体" w:hAnsi="宋体" w:cs="宋体"/>
          <w:kern w:val="0"/>
          <w:sz w:val="15"/>
          <w:szCs w:val="11"/>
        </w:rPr>
      </w:pPr>
      <w:r>
        <w:rPr>
          <w:rFonts w:ascii="宋体" w:hAnsi="宋体" w:cs="宋体" w:hint="eastAsia"/>
          <w:kern w:val="0"/>
          <w:sz w:val="15"/>
          <w:szCs w:val="11"/>
        </w:rPr>
        <w:lastRenderedPageBreak/>
        <w:t xml:space="preserve">　　3.尽职透明：严格在本理财产品说明书及对应协议书约定的专项理财资产运作方式范围内履行尽职管理责任，并对本理财产品风险予以充分揭示和披露。</w:t>
      </w:r>
    </w:p>
    <w:p w:rsidR="00267762" w:rsidRDefault="00267762" w:rsidP="00267762">
      <w:pPr>
        <w:widowControl/>
        <w:spacing w:line="200" w:lineRule="exact"/>
        <w:jc w:val="left"/>
        <w:rPr>
          <w:rFonts w:ascii="宋体" w:hAnsi="宋体" w:cs="宋体"/>
          <w:b/>
          <w:bCs/>
          <w:kern w:val="0"/>
          <w:sz w:val="15"/>
          <w:szCs w:val="11"/>
        </w:rPr>
      </w:pPr>
      <w:r>
        <w:rPr>
          <w:rFonts w:ascii="宋体" w:hAnsi="宋体" w:cs="宋体" w:hint="eastAsia"/>
          <w:kern w:val="0"/>
          <w:sz w:val="15"/>
          <w:szCs w:val="11"/>
        </w:rPr>
        <w:t xml:space="preserve">　　</w:t>
      </w:r>
      <w:r>
        <w:rPr>
          <w:rFonts w:ascii="宋体" w:hAnsi="宋体" w:cs="宋体" w:hint="eastAsia"/>
          <w:b/>
          <w:bCs/>
          <w:kern w:val="0"/>
          <w:sz w:val="15"/>
          <w:szCs w:val="11"/>
        </w:rPr>
        <w:t>第七条 重要提示</w:t>
      </w:r>
    </w:p>
    <w:p w:rsidR="00267762" w:rsidRDefault="00267762" w:rsidP="00267762">
      <w:pPr>
        <w:widowControl/>
        <w:spacing w:line="200" w:lineRule="exact"/>
        <w:jc w:val="left"/>
        <w:rPr>
          <w:rFonts w:ascii="宋体" w:hAnsi="宋体" w:cs="宋体"/>
          <w:b/>
          <w:bCs/>
          <w:color w:val="3D3D3D"/>
          <w:kern w:val="0"/>
          <w:sz w:val="15"/>
          <w:szCs w:val="11"/>
        </w:rPr>
      </w:pPr>
      <w:r>
        <w:rPr>
          <w:rFonts w:ascii="宋体" w:hAnsi="宋体" w:cs="宋体" w:hint="eastAsia"/>
          <w:b/>
          <w:bCs/>
          <w:kern w:val="0"/>
          <w:sz w:val="15"/>
          <w:szCs w:val="11"/>
        </w:rPr>
        <w:t xml:space="preserve">　　</w:t>
      </w:r>
      <w:r>
        <w:rPr>
          <w:rFonts w:ascii="宋体" w:hAnsi="宋体" w:cs="宋体" w:hint="eastAsia"/>
          <w:b/>
          <w:bCs/>
          <w:color w:val="3D3D3D"/>
          <w:kern w:val="0"/>
          <w:sz w:val="15"/>
          <w:szCs w:val="11"/>
        </w:rPr>
        <w:t>请您一定仔细阅读本理财产品销售文件，包括但不限于：《理财产品销售协议书》、《理财产品说明书》、《理财产品风险揭示书》、《投资者权益须知》等，了解理财产品具体情况，关注投资风险，自主决定是否投资。</w:t>
      </w:r>
    </w:p>
    <w:p w:rsidR="00267762" w:rsidRDefault="00267762" w:rsidP="00267762">
      <w:pPr>
        <w:widowControl/>
        <w:spacing w:line="200" w:lineRule="exact"/>
        <w:ind w:firstLineChars="200" w:firstLine="301"/>
        <w:jc w:val="left"/>
        <w:rPr>
          <w:rFonts w:ascii="宋体" w:hAnsi="宋体" w:cs="宋体"/>
          <w:b/>
          <w:bCs/>
          <w:color w:val="3D3D3D"/>
          <w:kern w:val="0"/>
          <w:sz w:val="15"/>
          <w:szCs w:val="11"/>
        </w:rPr>
      </w:pPr>
      <w:r>
        <w:rPr>
          <w:rFonts w:ascii="宋体" w:hAnsi="宋体" w:cs="宋体" w:hint="eastAsia"/>
          <w:b/>
          <w:bCs/>
          <w:color w:val="3D3D3D"/>
          <w:kern w:val="0"/>
          <w:sz w:val="15"/>
          <w:szCs w:val="11"/>
        </w:rPr>
        <w:t>银行将按照监管要求和说明书相关约定公布本理财产品的定期报告、到期报告等信息披露事项。投资者因自身原因或不可抗力原因未及时获知本理财产品的信息披露事项的，相应责任由投资者承担。</w:t>
      </w:r>
    </w:p>
    <w:p w:rsidR="00267762" w:rsidRDefault="00267762" w:rsidP="00267762">
      <w:pPr>
        <w:widowControl/>
        <w:spacing w:line="200" w:lineRule="exact"/>
        <w:ind w:firstLineChars="200" w:firstLine="301"/>
        <w:jc w:val="left"/>
        <w:rPr>
          <w:rFonts w:ascii="宋体" w:hAnsi="宋体" w:cs="宋体"/>
          <w:b/>
          <w:bCs/>
          <w:color w:val="3D3D3D"/>
          <w:kern w:val="0"/>
          <w:sz w:val="15"/>
          <w:szCs w:val="11"/>
        </w:rPr>
      </w:pPr>
      <w:r>
        <w:rPr>
          <w:rFonts w:ascii="宋体" w:hAnsi="宋体" w:cs="宋体" w:hint="eastAsia"/>
          <w:b/>
          <w:bCs/>
          <w:color w:val="3D3D3D"/>
          <w:kern w:val="0"/>
          <w:sz w:val="15"/>
          <w:szCs w:val="11"/>
        </w:rPr>
        <w:t>按照监管要求，理财产品发行机构应对理财产品投资者信息进行登记并向理财登记系统报送，该信息包括理财产品投资者的身份信息及其持有理财产品信息。在监管规定的情形下，投资者授权银行可与其他机构共享投资者信息，并要求其他机构履行投资者信息保密义务。</w:t>
      </w:r>
    </w:p>
    <w:p w:rsidR="00267762" w:rsidRDefault="00267762" w:rsidP="00267762">
      <w:pPr>
        <w:widowControl/>
        <w:spacing w:line="200" w:lineRule="exact"/>
        <w:jc w:val="left"/>
        <w:rPr>
          <w:rFonts w:ascii="宋体" w:hAnsi="宋体" w:cs="宋体"/>
          <w:b/>
          <w:bCs/>
          <w:color w:val="3D3D3D"/>
          <w:kern w:val="0"/>
          <w:sz w:val="15"/>
          <w:szCs w:val="11"/>
        </w:rPr>
      </w:pPr>
      <w:r>
        <w:rPr>
          <w:rFonts w:ascii="宋体" w:hAnsi="宋体" w:cs="宋体" w:hint="eastAsia"/>
          <w:b/>
          <w:bCs/>
          <w:color w:val="3D3D3D"/>
          <w:kern w:val="0"/>
          <w:sz w:val="15"/>
          <w:szCs w:val="11"/>
        </w:rPr>
        <w:t xml:space="preserve">　　本理财产品不纳入银行开具存款证明受理范围。本理财产品说明书在法律许可的范围内由银行负责解释。若投资者对本理财说明书的内容有任何疑问或异议，请致电投资者服务热线95302咨询、投诉。</w:t>
      </w:r>
    </w:p>
    <w:p w:rsidR="00267762" w:rsidRDefault="00267762" w:rsidP="00267762">
      <w:pPr>
        <w:widowControl/>
        <w:jc w:val="left"/>
        <w:rPr>
          <w:rFonts w:ascii="宋体" w:hAnsi="宋体" w:cs="宋体"/>
          <w:b/>
          <w:color w:val="3D3D3D"/>
          <w:kern w:val="0"/>
          <w:sz w:val="15"/>
          <w:szCs w:val="11"/>
        </w:rPr>
      </w:pPr>
      <w:r>
        <w:rPr>
          <w:rFonts w:ascii="宋体" w:hAnsi="宋体" w:cs="宋体" w:hint="eastAsia"/>
          <w:b/>
          <w:color w:val="3D3D3D"/>
          <w:kern w:val="0"/>
          <w:sz w:val="15"/>
          <w:szCs w:val="11"/>
        </w:rPr>
        <w:t>风险提示：</w:t>
      </w:r>
    </w:p>
    <w:p w:rsidR="00267762" w:rsidRDefault="00267762" w:rsidP="00267762">
      <w:pPr>
        <w:widowControl/>
        <w:jc w:val="left"/>
        <w:rPr>
          <w:rFonts w:ascii="宋体" w:hAnsi="宋体" w:cs="宋体"/>
          <w:b/>
          <w:color w:val="3D3D3D"/>
          <w:kern w:val="0"/>
          <w:sz w:val="15"/>
          <w:szCs w:val="11"/>
        </w:rPr>
      </w:pPr>
      <w:r>
        <w:rPr>
          <w:rFonts w:ascii="宋体" w:hAnsi="宋体" w:cs="宋体" w:hint="eastAsia"/>
          <w:b/>
          <w:color w:val="3D3D3D"/>
          <w:kern w:val="0"/>
          <w:sz w:val="15"/>
          <w:szCs w:val="11"/>
        </w:rPr>
        <w:t>本理财产品是</w:t>
      </w:r>
      <w:r>
        <w:rPr>
          <w:rFonts w:ascii="宋体" w:hAnsi="宋体" w:cs="宋体" w:hint="eastAsia"/>
          <w:b/>
          <w:i/>
          <w:color w:val="3D3D3D"/>
          <w:kern w:val="0"/>
          <w:szCs w:val="11"/>
          <w:u w:val="single"/>
        </w:rPr>
        <w:t>非保本浮动收益型</w:t>
      </w:r>
      <w:r>
        <w:rPr>
          <w:rFonts w:ascii="宋体" w:hAnsi="宋体" w:cs="宋体" w:hint="eastAsia"/>
          <w:b/>
          <w:color w:val="3D3D3D"/>
          <w:kern w:val="0"/>
          <w:sz w:val="15"/>
          <w:szCs w:val="11"/>
        </w:rPr>
        <w:t>理财产品，不保证本金和收益，您的本金与收益可能会蒙受重大损失，您应仔细阅读本理财协议条款和对应期次的理财产品说明书和风险提示，充分认识投资风险，谨慎投资。</w:t>
      </w:r>
    </w:p>
    <w:p w:rsidR="00520105" w:rsidRPr="00267762" w:rsidRDefault="00520105" w:rsidP="00267762">
      <w:pPr>
        <w:widowControl/>
        <w:spacing w:line="200" w:lineRule="exact"/>
        <w:jc w:val="left"/>
        <w:rPr>
          <w:rFonts w:ascii="宋体" w:hAnsi="宋体" w:cs="宋体"/>
          <w:color w:val="3D3D3D"/>
          <w:kern w:val="0"/>
          <w:sz w:val="13"/>
          <w:szCs w:val="11"/>
        </w:rPr>
      </w:pPr>
    </w:p>
    <w:sectPr w:rsidR="00520105" w:rsidRPr="00267762" w:rsidSect="00520105">
      <w:headerReference w:type="default" r:id="rId11"/>
      <w:type w:val="continuous"/>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E25" w:rsidRDefault="00CB1E25" w:rsidP="00520105">
      <w:r>
        <w:separator/>
      </w:r>
    </w:p>
  </w:endnote>
  <w:endnote w:type="continuationSeparator" w:id="1">
    <w:p w:rsidR="00CB1E25" w:rsidRDefault="00CB1E25" w:rsidP="00520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0" w:usb1="00000000" w:usb2="00000010" w:usb3="00000000" w:csb0="00040000" w:csb1="00000000"/>
  </w:font>
  <w:font w:name="方正细黑一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E25" w:rsidRDefault="00CB1E25" w:rsidP="00520105">
      <w:r>
        <w:separator/>
      </w:r>
    </w:p>
  </w:footnote>
  <w:footnote w:type="continuationSeparator" w:id="1">
    <w:p w:rsidR="00CB1E25" w:rsidRDefault="00CB1E25" w:rsidP="00520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105" w:rsidRDefault="00C65E80">
    <w:pPr>
      <w:pStyle w:val="a6"/>
      <w:pBdr>
        <w:bottom w:val="single" w:sz="6" w:space="2" w:color="auto"/>
      </w:pBdr>
      <w:wordWrap w:val="0"/>
      <w:ind w:right="360"/>
      <w:rPr>
        <w:sz w:val="32"/>
      </w:rPr>
    </w:pPr>
    <w:r>
      <w:rPr>
        <w:noProof/>
      </w:rPr>
      <w:drawing>
        <wp:inline distT="0" distB="0" distL="0" distR="0">
          <wp:extent cx="1149985" cy="38163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149985" cy="381635"/>
                  </a:xfrm>
                  <a:prstGeom prst="rect">
                    <a:avLst/>
                  </a:prstGeom>
                  <a:noFill/>
                  <a:ln w="9525" cmpd="sng">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第%1章"/>
      <w:lvlJc w:val="left"/>
      <w:pPr>
        <w:tabs>
          <w:tab w:val="num" w:pos="1155"/>
        </w:tabs>
        <w:ind w:left="1155" w:hanging="1155"/>
      </w:pPr>
      <w:rPr>
        <w:rFonts w:eastAsia="黑体" w:hint="eastAsia"/>
        <w:b w:val="0"/>
        <w:i w:val="0"/>
        <w:sz w:val="24"/>
        <w:szCs w:val="24"/>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japaneseCounting"/>
      <w:lvlText w:val="第%4条"/>
      <w:lvlJc w:val="left"/>
      <w:pPr>
        <w:tabs>
          <w:tab w:val="num" w:pos="2340"/>
        </w:tabs>
        <w:ind w:left="2340" w:hanging="108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0000000C"/>
    <w:multiLevelType w:val="multilevel"/>
    <w:tmpl w:val="0000000C"/>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42B33F4E"/>
    <w:multiLevelType w:val="singleLevel"/>
    <w:tmpl w:val="42B33F4E"/>
    <w:lvl w:ilvl="0">
      <w:start w:val="2"/>
      <w:numFmt w:val="chineseCounting"/>
      <w:suff w:val="nothing"/>
      <w:lvlText w:val="（%1）"/>
      <w:lvlJc w:val="left"/>
      <w:pPr>
        <w:ind w:left="300" w:firstLine="0"/>
      </w:pPr>
      <w:rPr>
        <w:rFonts w:hint="eastAsia"/>
      </w:rPr>
    </w:lvl>
  </w:abstractNum>
  <w:abstractNum w:abstractNumId="3">
    <w:nsid w:val="5B2A38E2"/>
    <w:multiLevelType w:val="singleLevel"/>
    <w:tmpl w:val="5B2A38E2"/>
    <w:lvl w:ilvl="0">
      <w:start w:val="3"/>
      <w:numFmt w:val="chineseCounting"/>
      <w:suff w:val="nothing"/>
      <w:lvlText w:val="（%1）"/>
      <w:lvlJc w:val="left"/>
    </w:lvl>
  </w:abstractNum>
  <w:abstractNum w:abstractNumId="4">
    <w:nsid w:val="5D651A29"/>
    <w:multiLevelType w:val="singleLevel"/>
    <w:tmpl w:val="5D651A29"/>
    <w:lvl w:ilvl="0">
      <w:start w:val="6"/>
      <w:numFmt w:val="decimal"/>
      <w:suff w:val="nothing"/>
      <w:lvlText w:val="（%1）"/>
      <w:lvlJc w:val="left"/>
    </w:lvl>
  </w:abstractNum>
  <w:abstractNum w:abstractNumId="5">
    <w:nsid w:val="6DAFBC6A"/>
    <w:multiLevelType w:val="singleLevel"/>
    <w:tmpl w:val="6DAFBC6A"/>
    <w:lvl w:ilvl="0">
      <w:start w:val="1"/>
      <w:numFmt w:val="decimal"/>
      <w:suff w:val="nothing"/>
      <w:lvlText w:val="%1、"/>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7EA4"/>
    <w:rsid w:val="00033482"/>
    <w:rsid w:val="00073D9B"/>
    <w:rsid w:val="000903E1"/>
    <w:rsid w:val="00095A87"/>
    <w:rsid w:val="000B3FED"/>
    <w:rsid w:val="000D3FE2"/>
    <w:rsid w:val="000D7275"/>
    <w:rsid w:val="001057AE"/>
    <w:rsid w:val="00120513"/>
    <w:rsid w:val="001461C1"/>
    <w:rsid w:val="00172A27"/>
    <w:rsid w:val="00174060"/>
    <w:rsid w:val="0017715B"/>
    <w:rsid w:val="001877AE"/>
    <w:rsid w:val="001D2868"/>
    <w:rsid w:val="00207112"/>
    <w:rsid w:val="00212572"/>
    <w:rsid w:val="002516BE"/>
    <w:rsid w:val="002536BA"/>
    <w:rsid w:val="00254598"/>
    <w:rsid w:val="00267762"/>
    <w:rsid w:val="002A2DE2"/>
    <w:rsid w:val="002A6059"/>
    <w:rsid w:val="002C1881"/>
    <w:rsid w:val="002D31CF"/>
    <w:rsid w:val="002D3DEA"/>
    <w:rsid w:val="002E060C"/>
    <w:rsid w:val="002F6CAB"/>
    <w:rsid w:val="0030635D"/>
    <w:rsid w:val="00317F9F"/>
    <w:rsid w:val="00320518"/>
    <w:rsid w:val="003378FB"/>
    <w:rsid w:val="00372C07"/>
    <w:rsid w:val="00376947"/>
    <w:rsid w:val="003E68CD"/>
    <w:rsid w:val="003F2A81"/>
    <w:rsid w:val="00434DA5"/>
    <w:rsid w:val="00446CC9"/>
    <w:rsid w:val="00483A05"/>
    <w:rsid w:val="00490251"/>
    <w:rsid w:val="004967A4"/>
    <w:rsid w:val="00501203"/>
    <w:rsid w:val="0051554C"/>
    <w:rsid w:val="00520105"/>
    <w:rsid w:val="00521BC3"/>
    <w:rsid w:val="0053396A"/>
    <w:rsid w:val="005632D4"/>
    <w:rsid w:val="00597BCF"/>
    <w:rsid w:val="005B095D"/>
    <w:rsid w:val="005B14DE"/>
    <w:rsid w:val="005D3A2B"/>
    <w:rsid w:val="0061069B"/>
    <w:rsid w:val="00610B82"/>
    <w:rsid w:val="006223B5"/>
    <w:rsid w:val="0064350B"/>
    <w:rsid w:val="006A1DF1"/>
    <w:rsid w:val="006B6C81"/>
    <w:rsid w:val="006D77DA"/>
    <w:rsid w:val="006E0C37"/>
    <w:rsid w:val="006E7B1B"/>
    <w:rsid w:val="007459D8"/>
    <w:rsid w:val="0078328F"/>
    <w:rsid w:val="00792F56"/>
    <w:rsid w:val="00794438"/>
    <w:rsid w:val="007A5B59"/>
    <w:rsid w:val="007F6E6B"/>
    <w:rsid w:val="008061D2"/>
    <w:rsid w:val="008213CF"/>
    <w:rsid w:val="00863332"/>
    <w:rsid w:val="00882DFC"/>
    <w:rsid w:val="0088516E"/>
    <w:rsid w:val="00890C15"/>
    <w:rsid w:val="008C4C38"/>
    <w:rsid w:val="008E2C52"/>
    <w:rsid w:val="008F0026"/>
    <w:rsid w:val="008F4F9F"/>
    <w:rsid w:val="009177BC"/>
    <w:rsid w:val="00917C48"/>
    <w:rsid w:val="00926AD7"/>
    <w:rsid w:val="00936C8A"/>
    <w:rsid w:val="0095228B"/>
    <w:rsid w:val="0096671B"/>
    <w:rsid w:val="0097223E"/>
    <w:rsid w:val="009733ED"/>
    <w:rsid w:val="00981A25"/>
    <w:rsid w:val="009934B5"/>
    <w:rsid w:val="009F1D80"/>
    <w:rsid w:val="009F1E1F"/>
    <w:rsid w:val="009F71DF"/>
    <w:rsid w:val="00A04DA1"/>
    <w:rsid w:val="00A050D1"/>
    <w:rsid w:val="00A13885"/>
    <w:rsid w:val="00A24CA8"/>
    <w:rsid w:val="00A50532"/>
    <w:rsid w:val="00AB6DB0"/>
    <w:rsid w:val="00AC17B3"/>
    <w:rsid w:val="00AC4F4E"/>
    <w:rsid w:val="00AC67D3"/>
    <w:rsid w:val="00AC69B3"/>
    <w:rsid w:val="00AD5AAD"/>
    <w:rsid w:val="00AD5CF2"/>
    <w:rsid w:val="00B64EF3"/>
    <w:rsid w:val="00B7190B"/>
    <w:rsid w:val="00B929E8"/>
    <w:rsid w:val="00BA22D9"/>
    <w:rsid w:val="00BC44D6"/>
    <w:rsid w:val="00BE45AC"/>
    <w:rsid w:val="00BF1BA1"/>
    <w:rsid w:val="00C00643"/>
    <w:rsid w:val="00C54081"/>
    <w:rsid w:val="00C545B8"/>
    <w:rsid w:val="00C65E80"/>
    <w:rsid w:val="00C76F71"/>
    <w:rsid w:val="00C86401"/>
    <w:rsid w:val="00CA6AEE"/>
    <w:rsid w:val="00CB1E25"/>
    <w:rsid w:val="00CC2035"/>
    <w:rsid w:val="00CF221E"/>
    <w:rsid w:val="00D16344"/>
    <w:rsid w:val="00D225B3"/>
    <w:rsid w:val="00D4251F"/>
    <w:rsid w:val="00D449B3"/>
    <w:rsid w:val="00D4597B"/>
    <w:rsid w:val="00D87CD2"/>
    <w:rsid w:val="00DA6912"/>
    <w:rsid w:val="00DC46C2"/>
    <w:rsid w:val="00DF6503"/>
    <w:rsid w:val="00E6309D"/>
    <w:rsid w:val="00E66F8B"/>
    <w:rsid w:val="00E70407"/>
    <w:rsid w:val="00EC5F0E"/>
    <w:rsid w:val="00ED0269"/>
    <w:rsid w:val="00ED1064"/>
    <w:rsid w:val="00F113B4"/>
    <w:rsid w:val="00F1240A"/>
    <w:rsid w:val="00F14D50"/>
    <w:rsid w:val="00F27343"/>
    <w:rsid w:val="00F74603"/>
    <w:rsid w:val="00F91761"/>
    <w:rsid w:val="00FA6280"/>
    <w:rsid w:val="00FD0A99"/>
    <w:rsid w:val="00FE0BC3"/>
    <w:rsid w:val="00FF1E30"/>
    <w:rsid w:val="01353704"/>
    <w:rsid w:val="013F2C6F"/>
    <w:rsid w:val="016C4C91"/>
    <w:rsid w:val="020C0363"/>
    <w:rsid w:val="021A1CC5"/>
    <w:rsid w:val="024859F5"/>
    <w:rsid w:val="02EB4336"/>
    <w:rsid w:val="02FC26C6"/>
    <w:rsid w:val="03052206"/>
    <w:rsid w:val="031B0006"/>
    <w:rsid w:val="0321592A"/>
    <w:rsid w:val="03283397"/>
    <w:rsid w:val="033B4B63"/>
    <w:rsid w:val="03CB339B"/>
    <w:rsid w:val="03D322A9"/>
    <w:rsid w:val="03F56138"/>
    <w:rsid w:val="04044597"/>
    <w:rsid w:val="04466070"/>
    <w:rsid w:val="045A472F"/>
    <w:rsid w:val="04A555A2"/>
    <w:rsid w:val="04B11C0D"/>
    <w:rsid w:val="04BF2105"/>
    <w:rsid w:val="04D22E0C"/>
    <w:rsid w:val="04DF74DE"/>
    <w:rsid w:val="04FE1815"/>
    <w:rsid w:val="05383F4C"/>
    <w:rsid w:val="053A7CBD"/>
    <w:rsid w:val="053F4F63"/>
    <w:rsid w:val="0548654B"/>
    <w:rsid w:val="057706D5"/>
    <w:rsid w:val="059C2063"/>
    <w:rsid w:val="059F2C24"/>
    <w:rsid w:val="05E73EAF"/>
    <w:rsid w:val="06343E42"/>
    <w:rsid w:val="066A23F9"/>
    <w:rsid w:val="06EB5B58"/>
    <w:rsid w:val="078A626E"/>
    <w:rsid w:val="078B26D8"/>
    <w:rsid w:val="081A75C6"/>
    <w:rsid w:val="08777342"/>
    <w:rsid w:val="08825C1F"/>
    <w:rsid w:val="088723EE"/>
    <w:rsid w:val="089C5F4F"/>
    <w:rsid w:val="0951066D"/>
    <w:rsid w:val="098F3065"/>
    <w:rsid w:val="0A226935"/>
    <w:rsid w:val="0A6224AE"/>
    <w:rsid w:val="0A816032"/>
    <w:rsid w:val="0AB52F1B"/>
    <w:rsid w:val="0ACD67E9"/>
    <w:rsid w:val="0B487C98"/>
    <w:rsid w:val="0B5861A2"/>
    <w:rsid w:val="0BA32591"/>
    <w:rsid w:val="0BBD19EA"/>
    <w:rsid w:val="0BF23AAA"/>
    <w:rsid w:val="0BF557A9"/>
    <w:rsid w:val="0C107DF9"/>
    <w:rsid w:val="0C4A32AF"/>
    <w:rsid w:val="0C6E08A9"/>
    <w:rsid w:val="0C841511"/>
    <w:rsid w:val="0C9932A7"/>
    <w:rsid w:val="0CA85F8A"/>
    <w:rsid w:val="0CC32470"/>
    <w:rsid w:val="0CC67FD4"/>
    <w:rsid w:val="0CE85348"/>
    <w:rsid w:val="0D27360F"/>
    <w:rsid w:val="0D5F7EC3"/>
    <w:rsid w:val="0D65315E"/>
    <w:rsid w:val="0E78465E"/>
    <w:rsid w:val="0E8C269A"/>
    <w:rsid w:val="0EE53BCA"/>
    <w:rsid w:val="0F0F43C8"/>
    <w:rsid w:val="0F530E9A"/>
    <w:rsid w:val="0FBB2C10"/>
    <w:rsid w:val="101E5D0B"/>
    <w:rsid w:val="101F5697"/>
    <w:rsid w:val="1037621C"/>
    <w:rsid w:val="103E4743"/>
    <w:rsid w:val="10543F14"/>
    <w:rsid w:val="105C4322"/>
    <w:rsid w:val="10882B72"/>
    <w:rsid w:val="10A709F4"/>
    <w:rsid w:val="10D14EF5"/>
    <w:rsid w:val="113535EA"/>
    <w:rsid w:val="11601510"/>
    <w:rsid w:val="11705E89"/>
    <w:rsid w:val="117D6DA4"/>
    <w:rsid w:val="11EC703F"/>
    <w:rsid w:val="12002939"/>
    <w:rsid w:val="120175C6"/>
    <w:rsid w:val="120B7CB1"/>
    <w:rsid w:val="120F3670"/>
    <w:rsid w:val="12620DB8"/>
    <w:rsid w:val="12A66590"/>
    <w:rsid w:val="1328485E"/>
    <w:rsid w:val="13300D9F"/>
    <w:rsid w:val="135B55FE"/>
    <w:rsid w:val="1379143C"/>
    <w:rsid w:val="13807659"/>
    <w:rsid w:val="13C25015"/>
    <w:rsid w:val="1406675E"/>
    <w:rsid w:val="14122CC8"/>
    <w:rsid w:val="14131472"/>
    <w:rsid w:val="1438447D"/>
    <w:rsid w:val="14DB140D"/>
    <w:rsid w:val="150A0EEA"/>
    <w:rsid w:val="15372461"/>
    <w:rsid w:val="153E20D8"/>
    <w:rsid w:val="159312BD"/>
    <w:rsid w:val="15B27347"/>
    <w:rsid w:val="15FE6BD9"/>
    <w:rsid w:val="165949EE"/>
    <w:rsid w:val="165D3247"/>
    <w:rsid w:val="16721796"/>
    <w:rsid w:val="168D1271"/>
    <w:rsid w:val="16914188"/>
    <w:rsid w:val="1735665F"/>
    <w:rsid w:val="17574EB8"/>
    <w:rsid w:val="175A1B73"/>
    <w:rsid w:val="17696111"/>
    <w:rsid w:val="176D6433"/>
    <w:rsid w:val="17966FF7"/>
    <w:rsid w:val="17AF36E8"/>
    <w:rsid w:val="17CE6A42"/>
    <w:rsid w:val="18066252"/>
    <w:rsid w:val="182A0DB1"/>
    <w:rsid w:val="18B169C7"/>
    <w:rsid w:val="18B62762"/>
    <w:rsid w:val="194B7484"/>
    <w:rsid w:val="19781CD8"/>
    <w:rsid w:val="198C514E"/>
    <w:rsid w:val="19B56AF1"/>
    <w:rsid w:val="19C60932"/>
    <w:rsid w:val="19D202FA"/>
    <w:rsid w:val="19D77B12"/>
    <w:rsid w:val="19DC3A7E"/>
    <w:rsid w:val="19F37ED1"/>
    <w:rsid w:val="1A023E0A"/>
    <w:rsid w:val="1A243048"/>
    <w:rsid w:val="1A60168E"/>
    <w:rsid w:val="1AA82FCC"/>
    <w:rsid w:val="1AAE7694"/>
    <w:rsid w:val="1AB1017B"/>
    <w:rsid w:val="1ACF756E"/>
    <w:rsid w:val="1AE049FB"/>
    <w:rsid w:val="1B035997"/>
    <w:rsid w:val="1B07602F"/>
    <w:rsid w:val="1B647C69"/>
    <w:rsid w:val="1B761AAA"/>
    <w:rsid w:val="1B927856"/>
    <w:rsid w:val="1BAE6669"/>
    <w:rsid w:val="1BB01C11"/>
    <w:rsid w:val="1BFE52E0"/>
    <w:rsid w:val="1C0B5AA8"/>
    <w:rsid w:val="1C0F5B80"/>
    <w:rsid w:val="1C210A3D"/>
    <w:rsid w:val="1C2B63D7"/>
    <w:rsid w:val="1C646B50"/>
    <w:rsid w:val="1C6645D9"/>
    <w:rsid w:val="1C9665EC"/>
    <w:rsid w:val="1CAE03F7"/>
    <w:rsid w:val="1CD7146A"/>
    <w:rsid w:val="1CE6373D"/>
    <w:rsid w:val="1CED51A0"/>
    <w:rsid w:val="1CF81000"/>
    <w:rsid w:val="1D1D5465"/>
    <w:rsid w:val="1D4B7010"/>
    <w:rsid w:val="1E40409C"/>
    <w:rsid w:val="1E9241F7"/>
    <w:rsid w:val="1E944045"/>
    <w:rsid w:val="1E984652"/>
    <w:rsid w:val="1EC86AD3"/>
    <w:rsid w:val="1ECC5755"/>
    <w:rsid w:val="1EDB701C"/>
    <w:rsid w:val="1EE268D6"/>
    <w:rsid w:val="1EEC003A"/>
    <w:rsid w:val="1F54114E"/>
    <w:rsid w:val="1F566A25"/>
    <w:rsid w:val="1F923E32"/>
    <w:rsid w:val="1FFF1E94"/>
    <w:rsid w:val="20086C9D"/>
    <w:rsid w:val="203158F4"/>
    <w:rsid w:val="20521D80"/>
    <w:rsid w:val="206C668F"/>
    <w:rsid w:val="20930BA2"/>
    <w:rsid w:val="20A07FCC"/>
    <w:rsid w:val="20C26C1E"/>
    <w:rsid w:val="20D744E8"/>
    <w:rsid w:val="20FA4618"/>
    <w:rsid w:val="214F14AC"/>
    <w:rsid w:val="2168138C"/>
    <w:rsid w:val="216D2A01"/>
    <w:rsid w:val="22757874"/>
    <w:rsid w:val="22863D2E"/>
    <w:rsid w:val="229C7A23"/>
    <w:rsid w:val="22A812AD"/>
    <w:rsid w:val="22B93805"/>
    <w:rsid w:val="23306E9E"/>
    <w:rsid w:val="236C4AFC"/>
    <w:rsid w:val="244A43D5"/>
    <w:rsid w:val="247E401F"/>
    <w:rsid w:val="24A4344E"/>
    <w:rsid w:val="24C6386E"/>
    <w:rsid w:val="24D2042B"/>
    <w:rsid w:val="25227C9B"/>
    <w:rsid w:val="259D7D88"/>
    <w:rsid w:val="25DF4068"/>
    <w:rsid w:val="26385347"/>
    <w:rsid w:val="263948A6"/>
    <w:rsid w:val="268F614C"/>
    <w:rsid w:val="26930150"/>
    <w:rsid w:val="26A1163B"/>
    <w:rsid w:val="26C3427B"/>
    <w:rsid w:val="2704122F"/>
    <w:rsid w:val="271E1521"/>
    <w:rsid w:val="27254E3A"/>
    <w:rsid w:val="27576D26"/>
    <w:rsid w:val="27732C78"/>
    <w:rsid w:val="27775C6F"/>
    <w:rsid w:val="278864D7"/>
    <w:rsid w:val="27AF4D33"/>
    <w:rsid w:val="27C94141"/>
    <w:rsid w:val="27DE3535"/>
    <w:rsid w:val="28343465"/>
    <w:rsid w:val="28527D68"/>
    <w:rsid w:val="2879195C"/>
    <w:rsid w:val="28C50E0A"/>
    <w:rsid w:val="28E03280"/>
    <w:rsid w:val="2907498D"/>
    <w:rsid w:val="29160F22"/>
    <w:rsid w:val="292E6DB6"/>
    <w:rsid w:val="297F56AD"/>
    <w:rsid w:val="298F0123"/>
    <w:rsid w:val="29947AB3"/>
    <w:rsid w:val="29B84698"/>
    <w:rsid w:val="29FD7556"/>
    <w:rsid w:val="2A2B3B95"/>
    <w:rsid w:val="2A645E6A"/>
    <w:rsid w:val="2A6C0463"/>
    <w:rsid w:val="2A7D10C5"/>
    <w:rsid w:val="2A8C4463"/>
    <w:rsid w:val="2AB2733C"/>
    <w:rsid w:val="2ABC1E65"/>
    <w:rsid w:val="2B981C25"/>
    <w:rsid w:val="2BBB3896"/>
    <w:rsid w:val="2C613F89"/>
    <w:rsid w:val="2C8261A3"/>
    <w:rsid w:val="2C876A0D"/>
    <w:rsid w:val="2C9422F3"/>
    <w:rsid w:val="2C97492B"/>
    <w:rsid w:val="2CC34A63"/>
    <w:rsid w:val="2CE906FF"/>
    <w:rsid w:val="2CFD6907"/>
    <w:rsid w:val="2D63551C"/>
    <w:rsid w:val="2D9524A4"/>
    <w:rsid w:val="2DB71C23"/>
    <w:rsid w:val="2DFC41BD"/>
    <w:rsid w:val="2E6119FD"/>
    <w:rsid w:val="2E9C2CEC"/>
    <w:rsid w:val="2EAB6EAA"/>
    <w:rsid w:val="2F34338E"/>
    <w:rsid w:val="2F3C5FD1"/>
    <w:rsid w:val="2F7C74F1"/>
    <w:rsid w:val="2FC0250E"/>
    <w:rsid w:val="2FC079C0"/>
    <w:rsid w:val="2FED1181"/>
    <w:rsid w:val="302928A9"/>
    <w:rsid w:val="303F142A"/>
    <w:rsid w:val="308F1978"/>
    <w:rsid w:val="30986DB2"/>
    <w:rsid w:val="30DC4502"/>
    <w:rsid w:val="30F2383F"/>
    <w:rsid w:val="314C4672"/>
    <w:rsid w:val="31650BAE"/>
    <w:rsid w:val="31D31C58"/>
    <w:rsid w:val="31EB5309"/>
    <w:rsid w:val="321E3B24"/>
    <w:rsid w:val="32316632"/>
    <w:rsid w:val="32A6765B"/>
    <w:rsid w:val="32B15F24"/>
    <w:rsid w:val="32E62623"/>
    <w:rsid w:val="32EF6ABE"/>
    <w:rsid w:val="32F94E9C"/>
    <w:rsid w:val="33307489"/>
    <w:rsid w:val="33413539"/>
    <w:rsid w:val="33414604"/>
    <w:rsid w:val="3347005E"/>
    <w:rsid w:val="3379776B"/>
    <w:rsid w:val="33A4289C"/>
    <w:rsid w:val="33D824E1"/>
    <w:rsid w:val="3438706B"/>
    <w:rsid w:val="3443766C"/>
    <w:rsid w:val="348462DC"/>
    <w:rsid w:val="3493061D"/>
    <w:rsid w:val="34C305E2"/>
    <w:rsid w:val="34C73A68"/>
    <w:rsid w:val="34E10C25"/>
    <w:rsid w:val="34E13FF6"/>
    <w:rsid w:val="34E73F83"/>
    <w:rsid w:val="350539D4"/>
    <w:rsid w:val="35241514"/>
    <w:rsid w:val="353F250A"/>
    <w:rsid w:val="357347E0"/>
    <w:rsid w:val="35757350"/>
    <w:rsid w:val="358A66C9"/>
    <w:rsid w:val="35940841"/>
    <w:rsid w:val="35BC5393"/>
    <w:rsid w:val="361C45F6"/>
    <w:rsid w:val="362E518F"/>
    <w:rsid w:val="364900CE"/>
    <w:rsid w:val="365F334E"/>
    <w:rsid w:val="36714B68"/>
    <w:rsid w:val="36B476E9"/>
    <w:rsid w:val="36F109AD"/>
    <w:rsid w:val="37416526"/>
    <w:rsid w:val="3762627C"/>
    <w:rsid w:val="37704504"/>
    <w:rsid w:val="37F15C8A"/>
    <w:rsid w:val="37F44BB7"/>
    <w:rsid w:val="37FD39F7"/>
    <w:rsid w:val="380D3ADF"/>
    <w:rsid w:val="38497A2B"/>
    <w:rsid w:val="38506B6D"/>
    <w:rsid w:val="3856222D"/>
    <w:rsid w:val="38BF6453"/>
    <w:rsid w:val="38DA203B"/>
    <w:rsid w:val="39025C30"/>
    <w:rsid w:val="391535A3"/>
    <w:rsid w:val="394E0DFE"/>
    <w:rsid w:val="39C971A5"/>
    <w:rsid w:val="39E467E6"/>
    <w:rsid w:val="39F52432"/>
    <w:rsid w:val="3A1543F5"/>
    <w:rsid w:val="3A4417D9"/>
    <w:rsid w:val="3A490E4C"/>
    <w:rsid w:val="3A685AB3"/>
    <w:rsid w:val="3AB75475"/>
    <w:rsid w:val="3ABE15B1"/>
    <w:rsid w:val="3AC416DE"/>
    <w:rsid w:val="3AC720BE"/>
    <w:rsid w:val="3AC81DEE"/>
    <w:rsid w:val="3AD92460"/>
    <w:rsid w:val="3B1A2429"/>
    <w:rsid w:val="3B414080"/>
    <w:rsid w:val="3B647EDB"/>
    <w:rsid w:val="3B71430D"/>
    <w:rsid w:val="3B9D24D9"/>
    <w:rsid w:val="3C903517"/>
    <w:rsid w:val="3CB11115"/>
    <w:rsid w:val="3CB77B2A"/>
    <w:rsid w:val="3CBE2705"/>
    <w:rsid w:val="3CD67C1A"/>
    <w:rsid w:val="3D0004BF"/>
    <w:rsid w:val="3D076DD4"/>
    <w:rsid w:val="3D385DA8"/>
    <w:rsid w:val="3D3C2E81"/>
    <w:rsid w:val="3D68516C"/>
    <w:rsid w:val="3DAD454A"/>
    <w:rsid w:val="3DE3550D"/>
    <w:rsid w:val="3EAF5521"/>
    <w:rsid w:val="3EE15029"/>
    <w:rsid w:val="3F0F4DB9"/>
    <w:rsid w:val="3F1963BF"/>
    <w:rsid w:val="3F61686B"/>
    <w:rsid w:val="3FA65ACC"/>
    <w:rsid w:val="400C5DE3"/>
    <w:rsid w:val="402E172C"/>
    <w:rsid w:val="40CA05E6"/>
    <w:rsid w:val="40FC77F5"/>
    <w:rsid w:val="41352E04"/>
    <w:rsid w:val="416D7160"/>
    <w:rsid w:val="417127BB"/>
    <w:rsid w:val="41B3495E"/>
    <w:rsid w:val="41B7219D"/>
    <w:rsid w:val="41B90BA6"/>
    <w:rsid w:val="425C5769"/>
    <w:rsid w:val="429525E1"/>
    <w:rsid w:val="42C53B72"/>
    <w:rsid w:val="42D15FA6"/>
    <w:rsid w:val="42DA2093"/>
    <w:rsid w:val="43565B74"/>
    <w:rsid w:val="439E0F65"/>
    <w:rsid w:val="43B1683E"/>
    <w:rsid w:val="43BA0168"/>
    <w:rsid w:val="44222CD7"/>
    <w:rsid w:val="44417622"/>
    <w:rsid w:val="44FC3295"/>
    <w:rsid w:val="45221323"/>
    <w:rsid w:val="45367136"/>
    <w:rsid w:val="455304EE"/>
    <w:rsid w:val="455B7250"/>
    <w:rsid w:val="456F6233"/>
    <w:rsid w:val="45BE63DE"/>
    <w:rsid w:val="460D23A3"/>
    <w:rsid w:val="46422C99"/>
    <w:rsid w:val="46457E00"/>
    <w:rsid w:val="464F1696"/>
    <w:rsid w:val="46572780"/>
    <w:rsid w:val="46CA218F"/>
    <w:rsid w:val="46D51DDE"/>
    <w:rsid w:val="46F64CFC"/>
    <w:rsid w:val="47090B3F"/>
    <w:rsid w:val="472415EA"/>
    <w:rsid w:val="47610631"/>
    <w:rsid w:val="477333EB"/>
    <w:rsid w:val="480E483D"/>
    <w:rsid w:val="48333EC3"/>
    <w:rsid w:val="48AA6C39"/>
    <w:rsid w:val="48FC2109"/>
    <w:rsid w:val="49440BCE"/>
    <w:rsid w:val="49730A0E"/>
    <w:rsid w:val="497F63AE"/>
    <w:rsid w:val="49CC7F3D"/>
    <w:rsid w:val="4A18797F"/>
    <w:rsid w:val="4A2D2637"/>
    <w:rsid w:val="4A3735C2"/>
    <w:rsid w:val="4A405F6F"/>
    <w:rsid w:val="4A597637"/>
    <w:rsid w:val="4AAB3E0F"/>
    <w:rsid w:val="4B552FB5"/>
    <w:rsid w:val="4BBF3867"/>
    <w:rsid w:val="4BDD1181"/>
    <w:rsid w:val="4BF20E5A"/>
    <w:rsid w:val="4C2B6543"/>
    <w:rsid w:val="4C2F4859"/>
    <w:rsid w:val="4C5206ED"/>
    <w:rsid w:val="4C6D12EA"/>
    <w:rsid w:val="4CAF4674"/>
    <w:rsid w:val="4CBF5010"/>
    <w:rsid w:val="4CBF779B"/>
    <w:rsid w:val="4D235234"/>
    <w:rsid w:val="4D3720BD"/>
    <w:rsid w:val="4D530394"/>
    <w:rsid w:val="4D702BBC"/>
    <w:rsid w:val="4D9F4E55"/>
    <w:rsid w:val="4E105E49"/>
    <w:rsid w:val="4E2F14B2"/>
    <w:rsid w:val="4E7E02B5"/>
    <w:rsid w:val="4E930A58"/>
    <w:rsid w:val="4EC85654"/>
    <w:rsid w:val="4F417174"/>
    <w:rsid w:val="4F99136B"/>
    <w:rsid w:val="4F9C0D64"/>
    <w:rsid w:val="4FD614BC"/>
    <w:rsid w:val="50134AFE"/>
    <w:rsid w:val="5019369B"/>
    <w:rsid w:val="50A50242"/>
    <w:rsid w:val="50C84B3A"/>
    <w:rsid w:val="50ED2364"/>
    <w:rsid w:val="511D728E"/>
    <w:rsid w:val="515D3E9E"/>
    <w:rsid w:val="5180049D"/>
    <w:rsid w:val="52180C6F"/>
    <w:rsid w:val="529C605A"/>
    <w:rsid w:val="52A80A9B"/>
    <w:rsid w:val="52AA36BB"/>
    <w:rsid w:val="53065705"/>
    <w:rsid w:val="53065A78"/>
    <w:rsid w:val="53624A53"/>
    <w:rsid w:val="537168B5"/>
    <w:rsid w:val="53ED61EC"/>
    <w:rsid w:val="53F323E4"/>
    <w:rsid w:val="54161D98"/>
    <w:rsid w:val="54DA2542"/>
    <w:rsid w:val="54EA1050"/>
    <w:rsid w:val="54F91D6F"/>
    <w:rsid w:val="5500729E"/>
    <w:rsid w:val="5531351A"/>
    <w:rsid w:val="557318E3"/>
    <w:rsid w:val="55843E8B"/>
    <w:rsid w:val="558A6A85"/>
    <w:rsid w:val="55AA4ED8"/>
    <w:rsid w:val="55DB6DF3"/>
    <w:rsid w:val="55E024CC"/>
    <w:rsid w:val="55E904D9"/>
    <w:rsid w:val="55FB5828"/>
    <w:rsid w:val="561A6337"/>
    <w:rsid w:val="563149BE"/>
    <w:rsid w:val="564A5493"/>
    <w:rsid w:val="565F009B"/>
    <w:rsid w:val="56986EF8"/>
    <w:rsid w:val="56A76F42"/>
    <w:rsid w:val="56B01AA2"/>
    <w:rsid w:val="56EC0FD6"/>
    <w:rsid w:val="57037340"/>
    <w:rsid w:val="571763FD"/>
    <w:rsid w:val="574D2193"/>
    <w:rsid w:val="576344EB"/>
    <w:rsid w:val="57702FFD"/>
    <w:rsid w:val="57787AF2"/>
    <w:rsid w:val="5829323E"/>
    <w:rsid w:val="58423E2B"/>
    <w:rsid w:val="597E6097"/>
    <w:rsid w:val="5997130D"/>
    <w:rsid w:val="599C7B57"/>
    <w:rsid w:val="59A1379B"/>
    <w:rsid w:val="59A8438C"/>
    <w:rsid w:val="59EC6516"/>
    <w:rsid w:val="5A083A53"/>
    <w:rsid w:val="5A0E3B56"/>
    <w:rsid w:val="5A2E1D74"/>
    <w:rsid w:val="5A503C52"/>
    <w:rsid w:val="5A651BEA"/>
    <w:rsid w:val="5A710C04"/>
    <w:rsid w:val="5A804CAB"/>
    <w:rsid w:val="5AA50C01"/>
    <w:rsid w:val="5AAE5FE3"/>
    <w:rsid w:val="5ACE6106"/>
    <w:rsid w:val="5B6245F7"/>
    <w:rsid w:val="5BA569FE"/>
    <w:rsid w:val="5BB85D54"/>
    <w:rsid w:val="5BF52A29"/>
    <w:rsid w:val="5C472445"/>
    <w:rsid w:val="5C532685"/>
    <w:rsid w:val="5C5D168F"/>
    <w:rsid w:val="5C6D2050"/>
    <w:rsid w:val="5C914982"/>
    <w:rsid w:val="5CA3425A"/>
    <w:rsid w:val="5CCA56AD"/>
    <w:rsid w:val="5D070F34"/>
    <w:rsid w:val="5D1D4050"/>
    <w:rsid w:val="5D275517"/>
    <w:rsid w:val="5D563CC6"/>
    <w:rsid w:val="5D5A5B65"/>
    <w:rsid w:val="5D640098"/>
    <w:rsid w:val="5D7818BA"/>
    <w:rsid w:val="5D991A53"/>
    <w:rsid w:val="5D9F5FAE"/>
    <w:rsid w:val="5DA95F6C"/>
    <w:rsid w:val="5E4E3232"/>
    <w:rsid w:val="5E626DE1"/>
    <w:rsid w:val="5EA41174"/>
    <w:rsid w:val="5ECE760C"/>
    <w:rsid w:val="5EDE4750"/>
    <w:rsid w:val="5F243B98"/>
    <w:rsid w:val="5FBC35BD"/>
    <w:rsid w:val="5FD53831"/>
    <w:rsid w:val="5FE53CC3"/>
    <w:rsid w:val="600A6EA6"/>
    <w:rsid w:val="606119DB"/>
    <w:rsid w:val="608522E1"/>
    <w:rsid w:val="60A96510"/>
    <w:rsid w:val="60C2153E"/>
    <w:rsid w:val="6108446C"/>
    <w:rsid w:val="610916A5"/>
    <w:rsid w:val="614A6E74"/>
    <w:rsid w:val="61B2741A"/>
    <w:rsid w:val="61D31C8F"/>
    <w:rsid w:val="61D35256"/>
    <w:rsid w:val="61D364A0"/>
    <w:rsid w:val="61DF0E56"/>
    <w:rsid w:val="62364C44"/>
    <w:rsid w:val="625C6537"/>
    <w:rsid w:val="62DF0D9D"/>
    <w:rsid w:val="62F80085"/>
    <w:rsid w:val="63927F92"/>
    <w:rsid w:val="63BB6BC0"/>
    <w:rsid w:val="64260E1E"/>
    <w:rsid w:val="64335EBB"/>
    <w:rsid w:val="643D73B7"/>
    <w:rsid w:val="645A1117"/>
    <w:rsid w:val="64704C4A"/>
    <w:rsid w:val="647D74AD"/>
    <w:rsid w:val="64955941"/>
    <w:rsid w:val="64A40933"/>
    <w:rsid w:val="64B75CA0"/>
    <w:rsid w:val="64E004F2"/>
    <w:rsid w:val="653F6392"/>
    <w:rsid w:val="65685B77"/>
    <w:rsid w:val="656E015F"/>
    <w:rsid w:val="658A10F5"/>
    <w:rsid w:val="65DE6F79"/>
    <w:rsid w:val="66044E6D"/>
    <w:rsid w:val="669B7B9C"/>
    <w:rsid w:val="66CE05AA"/>
    <w:rsid w:val="672819F7"/>
    <w:rsid w:val="6799338E"/>
    <w:rsid w:val="67BB6A0F"/>
    <w:rsid w:val="683601C3"/>
    <w:rsid w:val="684651B1"/>
    <w:rsid w:val="684B27D9"/>
    <w:rsid w:val="68593758"/>
    <w:rsid w:val="688503CD"/>
    <w:rsid w:val="689A0EEE"/>
    <w:rsid w:val="68AC7BB2"/>
    <w:rsid w:val="68BC3B16"/>
    <w:rsid w:val="68E73847"/>
    <w:rsid w:val="690D3AF8"/>
    <w:rsid w:val="69205DFC"/>
    <w:rsid w:val="6958720E"/>
    <w:rsid w:val="69945CB2"/>
    <w:rsid w:val="699A23D1"/>
    <w:rsid w:val="6A1E2A46"/>
    <w:rsid w:val="6A463DC0"/>
    <w:rsid w:val="6A484288"/>
    <w:rsid w:val="6AC666C4"/>
    <w:rsid w:val="6AFA2FBB"/>
    <w:rsid w:val="6B2843DA"/>
    <w:rsid w:val="6B5C5FC3"/>
    <w:rsid w:val="6B6B1CDF"/>
    <w:rsid w:val="6BA230B3"/>
    <w:rsid w:val="6BE7794C"/>
    <w:rsid w:val="6BE91AD8"/>
    <w:rsid w:val="6BF0092F"/>
    <w:rsid w:val="6C117F2F"/>
    <w:rsid w:val="6C1B040E"/>
    <w:rsid w:val="6C3005A8"/>
    <w:rsid w:val="6C5442DF"/>
    <w:rsid w:val="6C620C7F"/>
    <w:rsid w:val="6D7F2D92"/>
    <w:rsid w:val="6DC63E99"/>
    <w:rsid w:val="6DCD2BDB"/>
    <w:rsid w:val="6DD12031"/>
    <w:rsid w:val="6E0D5B93"/>
    <w:rsid w:val="6E3540B5"/>
    <w:rsid w:val="6E3D30F3"/>
    <w:rsid w:val="6E945B78"/>
    <w:rsid w:val="6EDB5FC2"/>
    <w:rsid w:val="6F187543"/>
    <w:rsid w:val="6F51592E"/>
    <w:rsid w:val="6F812B6A"/>
    <w:rsid w:val="6FC04A15"/>
    <w:rsid w:val="6FDA6D25"/>
    <w:rsid w:val="6FFE7B6B"/>
    <w:rsid w:val="70303E35"/>
    <w:rsid w:val="70462A8D"/>
    <w:rsid w:val="70782ACF"/>
    <w:rsid w:val="70860B53"/>
    <w:rsid w:val="70894DE8"/>
    <w:rsid w:val="70E6504B"/>
    <w:rsid w:val="70EE68F2"/>
    <w:rsid w:val="71066D93"/>
    <w:rsid w:val="711F7DAA"/>
    <w:rsid w:val="716F0D0C"/>
    <w:rsid w:val="71D13CA6"/>
    <w:rsid w:val="724B26D7"/>
    <w:rsid w:val="726C215B"/>
    <w:rsid w:val="72914CE5"/>
    <w:rsid w:val="729C1604"/>
    <w:rsid w:val="72A930BF"/>
    <w:rsid w:val="72D37CCB"/>
    <w:rsid w:val="72DF7B78"/>
    <w:rsid w:val="72EF0005"/>
    <w:rsid w:val="72FF2414"/>
    <w:rsid w:val="73037AEB"/>
    <w:rsid w:val="73255CE7"/>
    <w:rsid w:val="7327304E"/>
    <w:rsid w:val="7349285E"/>
    <w:rsid w:val="736F75FD"/>
    <w:rsid w:val="73A47C87"/>
    <w:rsid w:val="73D70596"/>
    <w:rsid w:val="73ED2337"/>
    <w:rsid w:val="740B7437"/>
    <w:rsid w:val="74321026"/>
    <w:rsid w:val="7454617A"/>
    <w:rsid w:val="74632338"/>
    <w:rsid w:val="749A7A37"/>
    <w:rsid w:val="755D463F"/>
    <w:rsid w:val="75784F20"/>
    <w:rsid w:val="758F1E62"/>
    <w:rsid w:val="75E24C3E"/>
    <w:rsid w:val="75E47DEC"/>
    <w:rsid w:val="76160856"/>
    <w:rsid w:val="767562A3"/>
    <w:rsid w:val="7690642A"/>
    <w:rsid w:val="76B94263"/>
    <w:rsid w:val="76D02782"/>
    <w:rsid w:val="76E25711"/>
    <w:rsid w:val="76F006E3"/>
    <w:rsid w:val="76F25097"/>
    <w:rsid w:val="76F94839"/>
    <w:rsid w:val="773F10FD"/>
    <w:rsid w:val="775F206C"/>
    <w:rsid w:val="77B6017F"/>
    <w:rsid w:val="77CB6D9E"/>
    <w:rsid w:val="77D65F88"/>
    <w:rsid w:val="77F057B2"/>
    <w:rsid w:val="77F260BD"/>
    <w:rsid w:val="77FE4193"/>
    <w:rsid w:val="781C3B71"/>
    <w:rsid w:val="782E10CE"/>
    <w:rsid w:val="78487908"/>
    <w:rsid w:val="786438BF"/>
    <w:rsid w:val="78B64180"/>
    <w:rsid w:val="78CE5DB8"/>
    <w:rsid w:val="78F1261B"/>
    <w:rsid w:val="790C0E49"/>
    <w:rsid w:val="791316F9"/>
    <w:rsid w:val="792F1CC7"/>
    <w:rsid w:val="793179E8"/>
    <w:rsid w:val="793C3C03"/>
    <w:rsid w:val="79E24035"/>
    <w:rsid w:val="79E31C7A"/>
    <w:rsid w:val="79E77C25"/>
    <w:rsid w:val="79EB175B"/>
    <w:rsid w:val="79F53D44"/>
    <w:rsid w:val="7A004BF7"/>
    <w:rsid w:val="7A066E39"/>
    <w:rsid w:val="7A643F26"/>
    <w:rsid w:val="7A6F4848"/>
    <w:rsid w:val="7AAB3E8E"/>
    <w:rsid w:val="7AC36B2E"/>
    <w:rsid w:val="7AFB6BA6"/>
    <w:rsid w:val="7B181446"/>
    <w:rsid w:val="7B1D1460"/>
    <w:rsid w:val="7B753F5D"/>
    <w:rsid w:val="7B7C4B31"/>
    <w:rsid w:val="7B826EC7"/>
    <w:rsid w:val="7B840864"/>
    <w:rsid w:val="7BA0591D"/>
    <w:rsid w:val="7BA7365C"/>
    <w:rsid w:val="7BFF61B7"/>
    <w:rsid w:val="7C2909C2"/>
    <w:rsid w:val="7C571F93"/>
    <w:rsid w:val="7C851ECD"/>
    <w:rsid w:val="7C972BC9"/>
    <w:rsid w:val="7CB40105"/>
    <w:rsid w:val="7CCE58A0"/>
    <w:rsid w:val="7CD826C5"/>
    <w:rsid w:val="7D233CCB"/>
    <w:rsid w:val="7D315AA8"/>
    <w:rsid w:val="7D433FA4"/>
    <w:rsid w:val="7D485BB7"/>
    <w:rsid w:val="7D5B2D6B"/>
    <w:rsid w:val="7D645AEF"/>
    <w:rsid w:val="7D8B10AB"/>
    <w:rsid w:val="7D973B16"/>
    <w:rsid w:val="7DB420C8"/>
    <w:rsid w:val="7E4275CD"/>
    <w:rsid w:val="7E475105"/>
    <w:rsid w:val="7E5C10AB"/>
    <w:rsid w:val="7E673AFB"/>
    <w:rsid w:val="7E6C2DEE"/>
    <w:rsid w:val="7EF127FA"/>
    <w:rsid w:val="7F0C4398"/>
    <w:rsid w:val="7F205E8C"/>
    <w:rsid w:val="7F34125D"/>
    <w:rsid w:val="7F954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05"/>
    <w:pPr>
      <w:widowControl w:val="0"/>
      <w:jc w:val="both"/>
    </w:pPr>
    <w:rPr>
      <w:kern w:val="2"/>
      <w:sz w:val="21"/>
      <w:szCs w:val="22"/>
    </w:rPr>
  </w:style>
  <w:style w:type="paragraph" w:styleId="1">
    <w:name w:val="heading 1"/>
    <w:basedOn w:val="a"/>
    <w:next w:val="a"/>
    <w:qFormat/>
    <w:rsid w:val="00520105"/>
    <w:pPr>
      <w:keepNext/>
      <w:widowControl/>
      <w:numPr>
        <w:numId w:val="1"/>
      </w:numPr>
      <w:spacing w:after="240" w:line="240" w:lineRule="atLeast"/>
      <w:jc w:val="left"/>
      <w:outlineLvl w:val="0"/>
    </w:pPr>
    <w:rPr>
      <w:rFonts w:ascii="Arial" w:hAnsi="Arial"/>
      <w:b/>
      <w:spacing w:val="-5"/>
      <w:kern w:val="0"/>
      <w:sz w:val="4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20105"/>
    <w:pPr>
      <w:jc w:val="left"/>
    </w:pPr>
  </w:style>
  <w:style w:type="paragraph" w:styleId="a4">
    <w:name w:val="Balloon Text"/>
    <w:basedOn w:val="a"/>
    <w:qFormat/>
    <w:rsid w:val="00520105"/>
    <w:rPr>
      <w:sz w:val="18"/>
      <w:szCs w:val="18"/>
    </w:rPr>
  </w:style>
  <w:style w:type="paragraph" w:styleId="a5">
    <w:name w:val="footer"/>
    <w:basedOn w:val="a"/>
    <w:qFormat/>
    <w:rsid w:val="00520105"/>
    <w:pPr>
      <w:tabs>
        <w:tab w:val="center" w:pos="4153"/>
        <w:tab w:val="right" w:pos="8306"/>
      </w:tabs>
      <w:snapToGrid w:val="0"/>
      <w:jc w:val="left"/>
    </w:pPr>
    <w:rPr>
      <w:sz w:val="18"/>
    </w:rPr>
  </w:style>
  <w:style w:type="paragraph" w:styleId="a6">
    <w:name w:val="header"/>
    <w:basedOn w:val="a"/>
    <w:qFormat/>
    <w:rsid w:val="005201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520105"/>
    <w:pPr>
      <w:widowControl/>
      <w:spacing w:before="102" w:after="102" w:line="1099" w:lineRule="atLeast"/>
      <w:ind w:firstLine="419"/>
      <w:jc w:val="left"/>
      <w:textAlignment w:val="baseline"/>
    </w:pPr>
    <w:rPr>
      <w:color w:val="000000"/>
      <w:kern w:val="0"/>
      <w:sz w:val="24"/>
      <w:szCs w:val="20"/>
      <w:u w:color="000000"/>
    </w:rPr>
  </w:style>
  <w:style w:type="character" w:styleId="a8">
    <w:name w:val="page number"/>
    <w:basedOn w:val="a0"/>
    <w:qFormat/>
    <w:rsid w:val="00520105"/>
  </w:style>
  <w:style w:type="character" w:styleId="a9">
    <w:name w:val="annotation reference"/>
    <w:basedOn w:val="a0"/>
    <w:uiPriority w:val="99"/>
    <w:unhideWhenUsed/>
    <w:qFormat/>
    <w:rsid w:val="00520105"/>
    <w:rPr>
      <w:sz w:val="21"/>
      <w:szCs w:val="21"/>
    </w:rPr>
  </w:style>
  <w:style w:type="table" w:styleId="aa">
    <w:name w:val="Table Grid"/>
    <w:basedOn w:val="a1"/>
    <w:qFormat/>
    <w:rsid w:val="005201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520105"/>
    <w:pPr>
      <w:widowControl w:val="0"/>
      <w:autoSpaceDE w:val="0"/>
      <w:autoSpaceDN w:val="0"/>
      <w:adjustRightInd w:val="0"/>
    </w:pPr>
    <w:rPr>
      <w:rFonts w:ascii="...." w:eastAsia="...."/>
      <w:color w:val="000000"/>
      <w:sz w:val="24"/>
      <w:szCs w:val="24"/>
    </w:rPr>
  </w:style>
  <w:style w:type="paragraph" w:customStyle="1" w:styleId="10">
    <w:name w:val="列出段落1"/>
    <w:basedOn w:val="a"/>
    <w:uiPriority w:val="99"/>
    <w:qFormat/>
    <w:rsid w:val="00520105"/>
    <w:pPr>
      <w:ind w:firstLineChars="200" w:firstLine="420"/>
    </w:pPr>
  </w:style>
  <w:style w:type="paragraph" w:customStyle="1" w:styleId="11">
    <w:name w:val="修订1"/>
    <w:hidden/>
    <w:uiPriority w:val="99"/>
    <w:unhideWhenUsed/>
    <w:qFormat/>
    <w:rsid w:val="00520105"/>
    <w:rPr>
      <w:kern w:val="2"/>
      <w:sz w:val="21"/>
      <w:szCs w:val="22"/>
    </w:rPr>
  </w:style>
  <w:style w:type="character" w:customStyle="1" w:styleId="12">
    <w:name w:val="占位符文本1"/>
    <w:basedOn w:val="a0"/>
    <w:uiPriority w:val="99"/>
    <w:unhideWhenUsed/>
    <w:qFormat/>
    <w:rsid w:val="00520105"/>
    <w:rPr>
      <w:color w:val="808080"/>
    </w:rPr>
  </w:style>
  <w:style w:type="paragraph" w:customStyle="1" w:styleId="f14b">
    <w:name w:val="f14b"/>
    <w:basedOn w:val="a"/>
    <w:rsid w:val="0064350B"/>
    <w:pPr>
      <w:widowControl/>
      <w:spacing w:before="100" w:beforeAutospacing="1" w:after="100" w:afterAutospacing="1"/>
      <w:jc w:val="left"/>
    </w:pPr>
    <w:rPr>
      <w:rFonts w:ascii="宋体" w:hAnsi="宋体"/>
      <w:b/>
      <w:bCs/>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66782-EA1F-43F2-967D-B4854FED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2476</Words>
  <Characters>14118</Characters>
  <Application>Microsoft Office Word</Application>
  <DocSecurity>0</DocSecurity>
  <Lines>117</Lines>
  <Paragraphs>33</Paragraphs>
  <ScaleCrop>false</ScaleCrop>
  <Company>Microsoft</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银行打印栏</dc:title>
  <dc:creator>濮敏</dc:creator>
  <cp:lastModifiedBy>Admin</cp:lastModifiedBy>
  <cp:revision>9</cp:revision>
  <cp:lastPrinted>2019-07-17T06:10:00Z</cp:lastPrinted>
  <dcterms:created xsi:type="dcterms:W3CDTF">2019-05-29T03:24:00Z</dcterms:created>
  <dcterms:modified xsi:type="dcterms:W3CDTF">2020-03-02T09:02:00Z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