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bookmarkStart w:id="222" w:name="_GoBack"/>
      <w:bookmarkEnd w:id="222"/>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兴银理财汇利稳健封闭式固收类理财产品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13"/>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兴银理财汇利稳健封闭式固收类理财产品产品说明书</w:t>
            </w:r>
          </w:p>
        </w:tc>
        <w:tc>
          <w:tcPr>
            <w:tcW w:w="2107" w:type="dxa"/>
          </w:tcPr>
          <w:p>
            <w:pPr>
              <w:pStyle w:val="13"/>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兴银理财汇利稳健封闭式固收类理财产品（代理）销售协议书</w:t>
            </w:r>
          </w:p>
        </w:tc>
        <w:tc>
          <w:tcPr>
            <w:tcW w:w="2107" w:type="dxa"/>
          </w:tcPr>
          <w:p>
            <w:pPr>
              <w:pStyle w:val="13"/>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兴银理财汇利稳健封闭式固收类理财产品风险揭示书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3"/>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兴银理财汇利稳健封闭式固收类理财产品投资者权益须知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3"/>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3"/>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13"/>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3"/>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headerReference r:id="rId3" w:type="default"/>
          <w:footerReference r:id="rId4" w:type="default"/>
          <w:pgSz w:w="11906" w:h="16838"/>
          <w:pgMar w:top="1440" w:right="1800" w:bottom="1440" w:left="1800" w:header="567" w:footer="964" w:gutter="0"/>
          <w:pgNumType w:fmt="decimal"/>
          <w:cols w:space="720" w:num="1"/>
          <w:titlePg/>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兴银理财汇利稳健封闭式固收类理财产品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701383"/>
      <w:bookmarkStart w:id="1" w:name="_Toc123112224"/>
      <w:bookmarkStart w:id="2" w:name="_Toc139992301"/>
      <w:bookmarkStart w:id="3" w:name="_Toc139991726"/>
      <w:bookmarkStart w:id="4" w:name="_Toc12311226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39991727"/>
      <w:bookmarkStart w:id="6" w:name="_Toc123112225"/>
      <w:bookmarkStart w:id="7" w:name="_Toc123112264"/>
      <w:bookmarkStart w:id="8" w:name="_Toc123701384"/>
      <w:bookmarkStart w:id="9" w:name="_Toc139992302"/>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2025</w:t>
      </w:r>
      <w:r>
        <w:rPr>
          <w:rStyle w:val="10"/>
          <w:rFonts w:hint="eastAsia" w:ascii="宋体" w:hAnsi="宋体"/>
          <w:sz w:val="28"/>
          <w:szCs w:val="28"/>
        </w:rPr>
        <w:t>】年【</w:t>
      </w:r>
      <w:r>
        <w:rPr>
          <w:rStyle w:val="10"/>
          <w:rFonts w:hint="eastAsia" w:ascii="宋体" w:hAnsi="宋体"/>
          <w:sz w:val="28"/>
          <w:szCs w:val="28"/>
          <w:lang w:val="en-US" w:eastAsia="zh-CN"/>
        </w:rPr>
        <w:t>4</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6"/>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jc w:val="both"/>
              <w:rPr>
                <w:rFonts w:ascii="黑体" w:hAnsi="黑体" w:eastAsia="黑体"/>
                <w:bCs/>
                <w:sz w:val="18"/>
                <w:szCs w:val="18"/>
              </w:rPr>
            </w:pPr>
          </w:p>
          <w:p>
            <w:pPr>
              <w:pStyle w:val="6"/>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39991729"/>
      <w:bookmarkStart w:id="11" w:name="_Toc123701386"/>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【兴银理财汇利稳健六个月封闭式1</w:t>
            </w:r>
            <w:r>
              <w:rPr>
                <w:rFonts w:hint="eastAsia" w:ascii="宋体" w:hAnsi="宋体"/>
                <w:bCs/>
                <w:sz w:val="18"/>
                <w:szCs w:val="18"/>
                <w:lang w:val="en-US" w:eastAsia="zh-CN"/>
              </w:rPr>
              <w:t>38</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期A（纯享款）】（适用【A】类份额）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期现汇B（纯享款）】（适用【B】类份额）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w:t>
            </w:r>
            <w:r>
              <w:rPr>
                <w:rFonts w:hint="eastAsia" w:ascii="宋体" w:hAnsi="宋体" w:cs="仿宋_GB2312"/>
                <w:kern w:val="0"/>
                <w:sz w:val="18"/>
                <w:szCs w:val="18"/>
              </w:rPr>
              <w:t>钞</w:t>
            </w:r>
            <w:r>
              <w:rPr>
                <w:rFonts w:ascii="宋体" w:hAnsi="宋体"/>
                <w:bCs/>
                <w:sz w:val="18"/>
                <w:szCs w:val="18"/>
              </w:rPr>
              <w:t>C</w:t>
            </w:r>
            <w:r>
              <w:rPr>
                <w:rFonts w:hint="eastAsia" w:ascii="宋体" w:hAnsi="宋体"/>
                <w:bCs/>
                <w:sz w:val="18"/>
                <w:szCs w:val="18"/>
              </w:rPr>
              <w:t>（纯享款）】（适用【</w:t>
            </w:r>
            <w:r>
              <w:rPr>
                <w:rFonts w:ascii="宋体" w:hAnsi="宋体"/>
                <w:bCs/>
                <w:sz w:val="18"/>
                <w:szCs w:val="18"/>
              </w:rPr>
              <w:t>C</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D</w:t>
            </w:r>
            <w:r>
              <w:rPr>
                <w:rFonts w:hint="eastAsia" w:ascii="宋体" w:hAnsi="宋体"/>
                <w:bCs/>
                <w:sz w:val="18"/>
                <w:szCs w:val="18"/>
              </w:rPr>
              <w:t>（纯享款）】（适用【</w:t>
            </w:r>
            <w:r>
              <w:rPr>
                <w:rFonts w:hint="eastAsia" w:ascii="宋体" w:hAnsi="宋体"/>
                <w:bCs/>
                <w:sz w:val="18"/>
                <w:szCs w:val="18"/>
                <w:lang w:val="en-US" w:eastAsia="zh-CN"/>
              </w:rPr>
              <w:t>D</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E</w:t>
            </w:r>
            <w:r>
              <w:rPr>
                <w:rFonts w:hint="eastAsia" w:ascii="宋体" w:hAnsi="宋体"/>
                <w:bCs/>
                <w:sz w:val="18"/>
                <w:szCs w:val="18"/>
              </w:rPr>
              <w:t>（纯享款）】（适用【</w:t>
            </w:r>
            <w:r>
              <w:rPr>
                <w:rFonts w:hint="eastAsia" w:ascii="宋体" w:hAnsi="宋体"/>
                <w:bCs/>
                <w:sz w:val="18"/>
                <w:szCs w:val="18"/>
                <w:lang w:val="en-US" w:eastAsia="zh-CN"/>
              </w:rPr>
              <w:t>E</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F</w:t>
            </w:r>
            <w:r>
              <w:rPr>
                <w:rFonts w:hint="eastAsia" w:ascii="宋体" w:hAnsi="宋体"/>
                <w:bCs/>
                <w:sz w:val="18"/>
                <w:szCs w:val="18"/>
              </w:rPr>
              <w:t>（纯享款）】（适用【</w:t>
            </w:r>
            <w:r>
              <w:rPr>
                <w:rFonts w:hint="eastAsia" w:ascii="宋体" w:hAnsi="宋体"/>
                <w:bCs/>
                <w:sz w:val="18"/>
                <w:szCs w:val="18"/>
                <w:lang w:val="en-US" w:eastAsia="zh-CN"/>
              </w:rPr>
              <w:t>F</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G</w:t>
            </w:r>
            <w:r>
              <w:rPr>
                <w:rFonts w:hint="eastAsia" w:ascii="宋体" w:hAnsi="宋体"/>
                <w:bCs/>
                <w:sz w:val="18"/>
                <w:szCs w:val="18"/>
              </w:rPr>
              <w:t>（纯享款）】（适用【</w:t>
            </w:r>
            <w:r>
              <w:rPr>
                <w:rFonts w:hint="eastAsia" w:ascii="宋体" w:hAnsi="宋体"/>
                <w:bCs/>
                <w:sz w:val="18"/>
                <w:szCs w:val="18"/>
                <w:lang w:val="en-US" w:eastAsia="zh-CN"/>
              </w:rPr>
              <w:t>G</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Z7002024003260</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ascii="宋体" w:hAnsi="宋体"/>
                <w:bCs/>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14:textFill>
                  <w14:solidFill>
                    <w14:schemeClr w14:val="tx1"/>
                  </w14:solidFill>
                </w14:textFill>
              </w:rPr>
              <w:t>A】（适用【A】类份额）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14:textFill>
                  <w14:solidFill>
                    <w14:schemeClr w14:val="tx1"/>
                  </w14:solidFill>
                </w14:textFill>
              </w:rPr>
              <w:t>B】（适用【B】类份额）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hint="default" w:ascii="宋体" w:hAnsi="宋体" w:eastAsia="宋体"/>
                <w:b/>
                <w:bCs/>
                <w:sz w:val="18"/>
                <w:szCs w:val="18"/>
                <w:lang w:val="en-US" w:eastAsia="zh-CN"/>
              </w:rPr>
            </w:pPr>
            <w:r>
              <w:rPr>
                <w:rFonts w:hint="eastAsia" w:ascii="宋体" w:hAnsi="宋体"/>
                <w:b/>
                <w:bCs/>
                <w:sz w:val="18"/>
                <w:szCs w:val="18"/>
                <w:lang w:val="en-US" w:eastAsia="zh-CN"/>
              </w:rPr>
              <w:t>G</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4"/>
            <w:spacing w:line="360" w:lineRule="auto"/>
            <w:jc w:val="center"/>
          </w:pPr>
          <w:r>
            <w:rPr>
              <w:rFonts w:hint="eastAsia"/>
              <w:lang w:val="zh-CN"/>
            </w:rPr>
            <w:t>目录</w:t>
          </w:r>
        </w:p>
        <w:p>
          <w:pPr>
            <w:pStyle w:val="5"/>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8</w:t>
          </w:r>
          <w:r>
            <w:fldChar w:fldCharType="end"/>
          </w:r>
          <w:r>
            <w:fldChar w:fldCharType="end"/>
          </w:r>
        </w:p>
        <w:p>
          <w:pPr>
            <w:pStyle w:val="5"/>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9</w:t>
          </w:r>
          <w:r>
            <w:fldChar w:fldCharType="end"/>
          </w:r>
          <w:r>
            <w:fldChar w:fldCharType="end"/>
          </w:r>
        </w:p>
        <w:p>
          <w:pPr>
            <w:pStyle w:val="5"/>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12</w:t>
          </w:r>
          <w:r>
            <w:fldChar w:fldCharType="end"/>
          </w:r>
          <w:r>
            <w:fldChar w:fldCharType="end"/>
          </w:r>
        </w:p>
        <w:p>
          <w:pPr>
            <w:pStyle w:val="5"/>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13</w:t>
          </w:r>
          <w:r>
            <w:fldChar w:fldCharType="end"/>
          </w:r>
          <w:r>
            <w:fldChar w:fldCharType="end"/>
          </w:r>
        </w:p>
        <w:p>
          <w:pPr>
            <w:pStyle w:val="5"/>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14</w:t>
          </w:r>
          <w:r>
            <w:fldChar w:fldCharType="end"/>
          </w:r>
          <w:r>
            <w:fldChar w:fldCharType="end"/>
          </w:r>
        </w:p>
        <w:p>
          <w:pPr>
            <w:pStyle w:val="5"/>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15</w:t>
          </w:r>
          <w:r>
            <w:fldChar w:fldCharType="end"/>
          </w:r>
          <w:r>
            <w:fldChar w:fldCharType="end"/>
          </w:r>
        </w:p>
        <w:p>
          <w:pPr>
            <w:pStyle w:val="5"/>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16</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112268"/>
      <w:bookmarkStart w:id="15" w:name="_Toc4966"/>
      <w:bookmarkStart w:id="16" w:name="_Toc6306"/>
      <w:bookmarkStart w:id="17" w:name="_Toc8727"/>
      <w:bookmarkStart w:id="18" w:name="_Toc30935"/>
      <w:bookmarkStart w:id="19" w:name="_Toc26897"/>
      <w:bookmarkStart w:id="20" w:name="_Toc4867"/>
      <w:bookmarkStart w:id="21" w:name="_Toc141703880"/>
      <w:bookmarkStart w:id="22" w:name="_Toc29629"/>
      <w:bookmarkStart w:id="23" w:name="_Toc139991730"/>
      <w:bookmarkStart w:id="24" w:name="_Toc123112229"/>
      <w:bookmarkStart w:id="25" w:name="_Toc23386"/>
      <w:bookmarkStart w:id="26" w:name="_Toc123701389"/>
      <w:bookmarkStart w:id="27" w:name="_Toc32639"/>
      <w:bookmarkStart w:id="28" w:name="_Toc15517"/>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21301"/>
      <w:bookmarkStart w:id="34" w:name="_Toc15067"/>
      <w:bookmarkStart w:id="35" w:name="_Toc258829399"/>
      <w:bookmarkStart w:id="36" w:name="_Toc19592"/>
      <w:bookmarkStart w:id="37" w:name="_Toc2465"/>
      <w:bookmarkStart w:id="38" w:name="_Toc24860"/>
      <w:bookmarkStart w:id="39" w:name="_Toc6617"/>
      <w:bookmarkStart w:id="40" w:name="_Toc3224"/>
      <w:bookmarkStart w:id="41" w:name="_Toc13020"/>
      <w:bookmarkStart w:id="42" w:name="_Toc22864"/>
      <w:r>
        <w:rPr>
          <w:rFonts w:hint="eastAsia" w:ascii="Times New Roman"/>
          <w:color w:val="auto"/>
          <w:sz w:val="30"/>
        </w:rPr>
        <w:t>前言</w:t>
      </w:r>
      <w:bookmarkEnd w:id="29"/>
    </w:p>
    <w:p>
      <w:pPr>
        <w:pStyle w:val="15"/>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6149"/>
      <w:bookmarkStart w:id="49" w:name="_Toc20627"/>
      <w:bookmarkStart w:id="50" w:name="_Toc545"/>
      <w:bookmarkStart w:id="51" w:name="_Toc6683"/>
      <w:bookmarkStart w:id="52" w:name="_Toc733"/>
      <w:bookmarkStart w:id="53" w:name="_Toc20318"/>
      <w:bookmarkStart w:id="54" w:name="_Toc22708"/>
      <w:bookmarkStart w:id="55" w:name="_Toc13288"/>
      <w:bookmarkStart w:id="56" w:name="_Toc18631"/>
      <w:bookmarkStart w:id="57" w:name="_Toc24571"/>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r>
              <w:rPr>
                <w:rFonts w:hint="eastAsia" w:ascii="宋体" w:hAnsi="宋体" w:cs="宋体"/>
                <w:sz w:val="18"/>
                <w:szCs w:val="18"/>
              </w:rPr>
              <w:t>【】类</w:t>
            </w:r>
            <w:r>
              <w:rPr>
                <w:rFonts w:ascii="宋体" w:hAnsi="宋体" w:cs="宋体"/>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rFonts w:hint="eastAsia"/>
          <w:b/>
          <w:bCs/>
          <w:lang w:eastAsia="zh-CN"/>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sectPr>
          <w:headerReference r:id="rId5" w:type="default"/>
          <w:footerReference r:id="rId6" w:type="default"/>
          <w:pgSz w:w="11906" w:h="16838"/>
          <w:pgMar w:top="1440" w:right="1800" w:bottom="1440" w:left="1800" w:header="567" w:footer="964" w:gutter="0"/>
          <w:pgNumType w:fmt="decimal"/>
          <w:cols w:space="720" w:num="1"/>
          <w:docGrid w:type="lines" w:linePitch="312" w:charSpace="0"/>
        </w:sect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兴银理财汇利稳健封闭式固收类理财产品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w:t>
      </w:r>
      <w:r>
        <w:rPr>
          <w:rStyle w:val="10"/>
          <w:rFonts w:ascii="宋体" w:hAnsi="宋体" w:cs="Times New Roman"/>
          <w:sz w:val="32"/>
          <w:szCs w:val="32"/>
        </w:rPr>
        <w:t>5</w:t>
      </w:r>
      <w:r>
        <w:rPr>
          <w:rStyle w:val="10"/>
          <w:rFonts w:hint="eastAsia" w:ascii="宋体" w:hAnsi="宋体" w:cs="Times New Roman"/>
          <w:sz w:val="32"/>
          <w:szCs w:val="32"/>
        </w:rPr>
        <w:t>】年【</w:t>
      </w:r>
      <w:r>
        <w:rPr>
          <w:rStyle w:val="10"/>
          <w:rFonts w:hint="eastAsia" w:ascii="宋体" w:hAnsi="宋体" w:cs="Times New Roman"/>
          <w:sz w:val="32"/>
          <w:szCs w:val="32"/>
          <w:lang w:val="en-US" w:eastAsia="zh-CN"/>
        </w:rPr>
        <w:t>4</w:t>
      </w:r>
      <w:r>
        <w:rPr>
          <w:rStyle w:val="10"/>
          <w:rFonts w:hint="eastAsia" w:ascii="宋体" w:hAnsi="宋体" w:cs="Times New Roman"/>
          <w:sz w:val="32"/>
          <w:szCs w:val="32"/>
        </w:rPr>
        <w:t>】月</w:t>
      </w:r>
    </w:p>
    <w:p>
      <w:pPr>
        <w:adjustRightInd w:val="0"/>
        <w:spacing w:line="360" w:lineRule="auto"/>
        <w:jc w:val="center"/>
        <w:rPr>
          <w:rStyle w:val="10"/>
          <w:rFonts w:ascii="宋体" w:hAnsi="宋体"/>
          <w:sz w:val="32"/>
          <w:szCs w:val="32"/>
        </w:rPr>
      </w:pPr>
    </w:p>
    <w:p>
      <w:pPr>
        <w:pStyle w:val="15"/>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6"/>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2"/>
              <w:rFonts w:hint="eastAsia" w:ascii="Times New Roman"/>
            </w:rPr>
            <w:t>第一条</w:t>
          </w:r>
          <w:r>
            <w:rPr>
              <w:rStyle w:val="12"/>
              <w:rFonts w:ascii="Times New Roman"/>
            </w:rPr>
            <w:t xml:space="preserve">  </w:t>
          </w:r>
          <w:r>
            <w:rPr>
              <w:rStyle w:val="12"/>
              <w:rFonts w:hint="eastAsia" w:ascii="Times New Roman"/>
            </w:rPr>
            <w:t>释义</w:t>
          </w:r>
          <w:r>
            <w:tab/>
          </w:r>
          <w:r>
            <w:fldChar w:fldCharType="begin"/>
          </w:r>
          <w:r>
            <w:instrText xml:space="preserve"> PAGEREF _Toc116649649 \h </w:instrText>
          </w:r>
          <w:r>
            <w:fldChar w:fldCharType="separate"/>
          </w:r>
          <w:r>
            <w:t>20</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2"/>
              <w:rFonts w:hint="eastAsia" w:hAnsi="宋体"/>
            </w:rPr>
            <w:t>第二条</w:t>
          </w:r>
          <w:r>
            <w:rPr>
              <w:rStyle w:val="12"/>
              <w:rFonts w:hAnsi="宋体"/>
            </w:rPr>
            <w:t xml:space="preserve">  </w:t>
          </w:r>
          <w:r>
            <w:rPr>
              <w:rStyle w:val="12"/>
              <w:rFonts w:hint="eastAsia" w:hAnsi="宋体"/>
            </w:rPr>
            <w:t>理财产品基本情况</w:t>
          </w:r>
          <w:r>
            <w:rPr>
              <w:rStyle w:val="12"/>
              <w:rFonts w:hAnsi="宋体"/>
            </w:rPr>
            <w:t xml:space="preserve"> </w:t>
          </w:r>
          <w:r>
            <w:tab/>
          </w:r>
          <w:r>
            <w:fldChar w:fldCharType="begin"/>
          </w:r>
          <w:r>
            <w:instrText xml:space="preserve"> PAGEREF _Toc116649650 \h </w:instrText>
          </w:r>
          <w:r>
            <w:fldChar w:fldCharType="separate"/>
          </w:r>
          <w:r>
            <w:t>25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2"/>
              <w:rFonts w:hint="eastAsia" w:ascii="Times New Roman"/>
            </w:rPr>
            <w:t>第三条</w:t>
          </w:r>
          <w:r>
            <w:rPr>
              <w:rStyle w:val="12"/>
              <w:rFonts w:ascii="Times New Roman"/>
            </w:rPr>
            <w:t xml:space="preserve">  </w:t>
          </w:r>
          <w:r>
            <w:rPr>
              <w:rStyle w:val="12"/>
              <w:rFonts w:hint="eastAsia" w:ascii="Times New Roman"/>
            </w:rPr>
            <w:t>理财产品的认购</w:t>
          </w:r>
          <w:r>
            <w:tab/>
          </w:r>
          <w:r>
            <w:fldChar w:fldCharType="begin"/>
          </w:r>
          <w:r>
            <w:instrText xml:space="preserve"> PAGEREF _Toc116649651 \h </w:instrText>
          </w:r>
          <w:r>
            <w:fldChar w:fldCharType="separate"/>
          </w:r>
          <w:r>
            <w:t>31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2"/>
              <w:rFonts w:hint="eastAsia" w:ascii="Times New Roman"/>
            </w:rPr>
            <w:t>第四条</w:t>
          </w:r>
          <w:r>
            <w:rPr>
              <w:rStyle w:val="12"/>
              <w:rFonts w:ascii="Times New Roman"/>
            </w:rPr>
            <w:t xml:space="preserve">  </w:t>
          </w:r>
          <w:r>
            <w:rPr>
              <w:rStyle w:val="12"/>
              <w:rFonts w:hint="eastAsia" w:ascii="Times New Roman"/>
            </w:rPr>
            <w:t>理财产品的申购与赎回</w:t>
          </w:r>
          <w:r>
            <w:tab/>
          </w:r>
          <w:r>
            <w:fldChar w:fldCharType="begin"/>
          </w:r>
          <w:r>
            <w:instrText xml:space="preserve"> PAGEREF _Toc116649652 \h </w:instrText>
          </w:r>
          <w:r>
            <w:fldChar w:fldCharType="separate"/>
          </w:r>
          <w:r>
            <w:t>33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2"/>
              <w:rFonts w:hint="eastAsia" w:ascii="Times New Roman"/>
            </w:rPr>
            <w:t>第五条</w:t>
          </w:r>
          <w:r>
            <w:rPr>
              <w:rStyle w:val="12"/>
              <w:rFonts w:ascii="Times New Roman"/>
            </w:rPr>
            <w:t xml:space="preserve">  </w:t>
          </w:r>
          <w:r>
            <w:rPr>
              <w:rStyle w:val="12"/>
              <w:rFonts w:hint="eastAsia" w:ascii="Times New Roman"/>
            </w:rPr>
            <w:t>理财产品的投资</w:t>
          </w:r>
          <w:r>
            <w:tab/>
          </w:r>
          <w:r>
            <w:fldChar w:fldCharType="begin"/>
          </w:r>
          <w:r>
            <w:instrText xml:space="preserve"> PAGEREF _Toc116649653 \h </w:instrText>
          </w:r>
          <w:r>
            <w:fldChar w:fldCharType="separate"/>
          </w:r>
          <w:r>
            <w:t>34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2"/>
              <w:rFonts w:hint="eastAsia" w:ascii="Times New Roman"/>
            </w:rPr>
            <w:t>第六条</w:t>
          </w:r>
          <w:r>
            <w:rPr>
              <w:rStyle w:val="12"/>
              <w:rFonts w:ascii="Times New Roman"/>
            </w:rPr>
            <w:t xml:space="preserve">  </w:t>
          </w:r>
          <w:r>
            <w:rPr>
              <w:rStyle w:val="12"/>
              <w:rFonts w:hint="eastAsia" w:ascii="Times New Roman"/>
            </w:rPr>
            <w:t>理财产品的资产</w:t>
          </w:r>
          <w:r>
            <w:tab/>
          </w:r>
          <w:r>
            <w:fldChar w:fldCharType="begin"/>
          </w:r>
          <w:r>
            <w:instrText xml:space="preserve"> PAGEREF _Toc116649654 \h </w:instrText>
          </w:r>
          <w:r>
            <w:fldChar w:fldCharType="separate"/>
          </w:r>
          <w:r>
            <w:t>36</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2"/>
              <w:rFonts w:hint="eastAsia" w:ascii="Times New Roman"/>
            </w:rPr>
            <w:t>第七条</w:t>
          </w:r>
          <w:r>
            <w:rPr>
              <w:rStyle w:val="12"/>
              <w:rFonts w:ascii="Times New Roman"/>
            </w:rPr>
            <w:t xml:space="preserve">  </w:t>
          </w:r>
          <w:r>
            <w:rPr>
              <w:rStyle w:val="12"/>
              <w:rFonts w:hint="eastAsia" w:ascii="Times New Roman"/>
            </w:rPr>
            <w:t>理财产品项下资产的估值</w:t>
          </w:r>
          <w:r>
            <w:tab/>
          </w:r>
          <w:r>
            <w:fldChar w:fldCharType="begin"/>
          </w:r>
          <w:r>
            <w:instrText xml:space="preserve"> PAGEREF _Toc116649655 \h </w:instrText>
          </w:r>
          <w:r>
            <w:fldChar w:fldCharType="separate"/>
          </w:r>
          <w:r>
            <w:t>37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2"/>
              <w:rFonts w:hint="eastAsia" w:ascii="Times New Roman"/>
            </w:rPr>
            <w:t>第八条</w:t>
          </w:r>
          <w:r>
            <w:rPr>
              <w:rStyle w:val="12"/>
              <w:rFonts w:ascii="Times New Roman"/>
            </w:rPr>
            <w:t xml:space="preserve">  </w:t>
          </w:r>
          <w:r>
            <w:rPr>
              <w:rStyle w:val="12"/>
              <w:rFonts w:hint="eastAsia" w:ascii="Times New Roman"/>
            </w:rPr>
            <w:t>理财产品的利益分配</w:t>
          </w:r>
          <w:r>
            <w:tab/>
          </w:r>
          <w:r>
            <w:fldChar w:fldCharType="begin"/>
          </w:r>
          <w:r>
            <w:instrText xml:space="preserve"> PAGEREF _Toc116649656 \h </w:instrText>
          </w:r>
          <w:r>
            <w:fldChar w:fldCharType="separate"/>
          </w:r>
          <w:r>
            <w:t>41</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2"/>
              <w:rFonts w:hint="eastAsia" w:ascii="Times New Roman"/>
            </w:rPr>
            <w:t>第九条</w:t>
          </w:r>
          <w:r>
            <w:rPr>
              <w:rStyle w:val="12"/>
              <w:rFonts w:ascii="Times New Roman"/>
            </w:rPr>
            <w:t xml:space="preserve">  </w:t>
          </w:r>
          <w:r>
            <w:rPr>
              <w:rStyle w:val="12"/>
              <w:rFonts w:hint="eastAsia" w:ascii="Times New Roman"/>
            </w:rPr>
            <w:t>理财产品的费用与税收</w:t>
          </w:r>
          <w:r>
            <w:tab/>
          </w:r>
          <w:r>
            <w:fldChar w:fldCharType="begin"/>
          </w:r>
          <w:r>
            <w:instrText xml:space="preserve"> PAGEREF _Toc116649657 \h </w:instrText>
          </w:r>
          <w:r>
            <w:fldChar w:fldCharType="separate"/>
          </w:r>
          <w:r>
            <w:t>42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2"/>
              <w:rFonts w:hint="eastAsia"/>
            </w:rPr>
            <w:t>第十条</w:t>
          </w:r>
          <w:r>
            <w:rPr>
              <w:rStyle w:val="12"/>
            </w:rPr>
            <w:t xml:space="preserve">  </w:t>
          </w:r>
          <w:r>
            <w:rPr>
              <w:rStyle w:val="12"/>
              <w:rFonts w:hint="eastAsia"/>
            </w:rPr>
            <w:t>理财产品的终止与清算</w:t>
          </w:r>
          <w:r>
            <w:tab/>
          </w:r>
          <w:r>
            <w:fldChar w:fldCharType="begin"/>
          </w:r>
          <w:r>
            <w:instrText xml:space="preserve"> PAGEREF _Toc116649658 \h </w:instrText>
          </w:r>
          <w:r>
            <w:fldChar w:fldCharType="separate"/>
          </w:r>
          <w:r>
            <w:t>45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2"/>
              <w:rFonts w:hint="eastAsia" w:ascii="Times New Roman"/>
            </w:rPr>
            <w:t>第十一条</w:t>
          </w:r>
          <w:r>
            <w:rPr>
              <w:rStyle w:val="12"/>
              <w:rFonts w:ascii="Times New Roman"/>
            </w:rPr>
            <w:t xml:space="preserve">  </w:t>
          </w:r>
          <w:r>
            <w:rPr>
              <w:rStyle w:val="12"/>
              <w:rFonts w:hint="eastAsia" w:ascii="Times New Roman"/>
            </w:rPr>
            <w:t>理财产品的信息披露</w:t>
          </w:r>
          <w:r>
            <w:tab/>
          </w:r>
          <w:r>
            <w:fldChar w:fldCharType="begin"/>
          </w:r>
          <w:r>
            <w:instrText xml:space="preserve"> PAGEREF _Toc116649659 \h </w:instrText>
          </w:r>
          <w:r>
            <w:fldChar w:fldCharType="separate"/>
          </w:r>
          <w:r>
            <w:t>47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2"/>
              <w:rFonts w:hint="eastAsia" w:ascii="Times New Roman"/>
            </w:rPr>
            <w:t>第十二条</w:t>
          </w:r>
          <w:r>
            <w:rPr>
              <w:rStyle w:val="12"/>
              <w:rFonts w:ascii="Times New Roman"/>
            </w:rPr>
            <w:t xml:space="preserve">  </w:t>
          </w:r>
          <w:r>
            <w:rPr>
              <w:rStyle w:val="12"/>
              <w:rFonts w:hint="eastAsia" w:ascii="Times New Roman"/>
            </w:rPr>
            <w:t>理财产品的风险揭示</w:t>
          </w:r>
          <w:r>
            <w:tab/>
          </w:r>
          <w:r>
            <w:fldChar w:fldCharType="begin"/>
          </w:r>
          <w:r>
            <w:instrText xml:space="preserve"> PAGEREF _Toc116649660 \h </w:instrText>
          </w:r>
          <w:r>
            <w:fldChar w:fldCharType="separate"/>
          </w:r>
          <w:r>
            <w:t>49</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 xml:space="preserve">1988年，于2005年开展资产托管业务，具备理财产品托管资格。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5"/>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5"/>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：指产品管理人向投资者提供的，用于描述产品特征，约定权利义务的文件。具体指《兴银理财汇利稳健封闭式固收类理财产品销售文件》，包括《投资协议书》《产品说明书》《（代理）销售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《投资协议书》：指管理人统一编制的《兴银理财汇利稳健封闭式固收类理财产品投资协议书》，以及对该文件的有效修改或补充。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）《产品说明书》：指管理人统一编制的《兴银理财汇利稳健封闭式固收类理财产品产品说明书》，以及对该文件的有效修改或补充。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（4）《（代理）销售协议书》：指管理人统一编制的《兴银理财汇利稳健封闭式固收类理财产品（代理）销售协议书》或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的《兴银理财汇利稳健封闭式固收类理财产品（代理）销售协议书》（文件名称以代理销售机构实际编制为准），以及对该文件的有效修改或补充。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）《风险揭示书》：指管理人统一编制的《兴银理财汇利稳健封闭式固收类理财产品风险揭示书》或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的《兴银理财汇利稳健封闭式固收类理财产品风险揭示书》（文件名称以代理销售机构实际编制为准），以及对该文件的有效修改或补充。</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）《投资者权益须知》：指管理人统一编制的《兴银理财汇利稳健封闭式固收类理财产品投资者权益须知》或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《兴银理财汇利稳健封闭式固收类理财产品投资者权益须知》（文件名称以代理销售机构实际编制为准），以及对该文件的有效修改或补充。</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份理财产品份额以美元计价的价格。理财产品份额净值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15"/>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 xml:space="preserve">2）交易日：指银行间市场、证券交易所市场、境外债券OTC市场共同的正常开盘交易日。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工作日：指中国法定工作日且为中国香港及美国的法定工作日。</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5"/>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5"/>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cs="仿宋_GB2312" w:asciiTheme="minorEastAsia" w:hAnsiTheme="minorEastAsia" w:eastAsiaTheme="minorEastAsia"/>
          <w:bCs/>
          <w:color w:val="auto"/>
          <w:sz w:val="18"/>
          <w:szCs w:val="18"/>
        </w:rPr>
        <w:t>★</w:t>
      </w:r>
      <w:r>
        <w:rPr>
          <w:rFonts w:asciiTheme="minorEastAsia" w:hAnsiTheme="minorEastAsia" w:eastAsiaTheme="minorEastAsia"/>
          <w:sz w:val="18"/>
          <w:szCs w:val="18"/>
        </w:rPr>
        <w:t>认购费：</w:t>
      </w:r>
      <w:r>
        <w:rPr>
          <w:rFonts w:hint="eastAsia" w:asciiTheme="minorEastAsia" w:hAnsiTheme="minorEastAsia" w:eastAsiaTheme="minorEastAsia"/>
          <w:sz w:val="18"/>
          <w:szCs w:val="18"/>
        </w:rPr>
        <w:t>指</w:t>
      </w:r>
      <w:r>
        <w:rPr>
          <w:rFonts w:asciiTheme="minorEastAsia" w:hAnsiTheme="minorEastAsia" w:eastAsiaTheme="minorEastAsia"/>
          <w:sz w:val="18"/>
          <w:szCs w:val="18"/>
        </w:rPr>
        <w:t>投资者认购产品时</w:t>
      </w:r>
      <w:r>
        <w:rPr>
          <w:rFonts w:hint="eastAsia" w:asciiTheme="minorEastAsia" w:hAnsiTheme="minorEastAsia" w:eastAsiaTheme="minorEastAsia"/>
          <w:sz w:val="18"/>
          <w:szCs w:val="18"/>
        </w:rPr>
        <w:t>需缴纳的费用。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销售服务费：指因理财产品销售行为产生的费用。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投资管理费：指因理财产品投资管理产生的费用。</w:t>
      </w:r>
    </w:p>
    <w:p>
      <w:pPr>
        <w:pStyle w:val="15"/>
        <w:spacing w:line="360" w:lineRule="auto"/>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4）</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产品托管费：指因理财产品进行托管产生的费用。</w:t>
      </w:r>
    </w:p>
    <w:p>
      <w:pPr>
        <w:pStyle w:val="15"/>
        <w:spacing w:line="360" w:lineRule="auto"/>
        <w:ind w:firstLine="360" w:firstLineChars="200"/>
        <w:rPr>
          <w:rFonts w:asciiTheme="minorEastAsia" w:hAnsiTheme="minorEastAsia" w:eastAsiaTheme="minorEastAsia"/>
          <w:bCs/>
          <w:color w:val="auto"/>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5）</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超额业绩报酬</w:t>
      </w:r>
      <w:r>
        <w:rPr>
          <w:rFonts w:asciiTheme="minorEastAsia" w:hAnsiTheme="minorEastAsia" w:eastAsiaTheme="minorEastAsia"/>
          <w:sz w:val="18"/>
          <w:szCs w:val="18"/>
        </w:rPr>
        <w:t>/业绩报酬：指产品管理人依照理财产品销售文件</w:t>
      </w:r>
      <w:r>
        <w:rPr>
          <w:rFonts w:hint="eastAsia" w:asciiTheme="minorEastAsia" w:hAnsiTheme="minorEastAsia" w:eastAsiaTheme="minorEastAsia"/>
          <w:sz w:val="18"/>
          <w:szCs w:val="18"/>
        </w:rPr>
        <w:t>约定规则收取的浮动性质的管理费用。</w:t>
      </w:r>
    </w:p>
    <w:p>
      <w:pPr>
        <w:pStyle w:val="15"/>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（2）美元：指美元。</w:t>
      </w:r>
    </w:p>
    <w:p>
      <w:pPr>
        <w:pStyle w:val="15"/>
        <w:spacing w:line="360" w:lineRule="auto"/>
        <w:ind w:firstLine="360" w:firstLineChars="200"/>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pPr>
        <w:spacing w:line="360" w:lineRule="auto"/>
        <w:ind w:firstLine="560" w:firstLineChars="200"/>
        <w:rPr>
          <w:rFonts w:ascii="宋体" w:hAnsi="宋体"/>
          <w:color w:val="000000"/>
          <w:kern w:val="0"/>
          <w:sz w:val="28"/>
          <w:szCs w:val="28"/>
        </w:rPr>
      </w:pP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【兴银理财汇利稳健六个月封闭式1</w:t>
            </w:r>
            <w:r>
              <w:rPr>
                <w:rFonts w:hint="eastAsia" w:ascii="宋体" w:hAnsi="宋体"/>
                <w:bCs/>
                <w:sz w:val="18"/>
                <w:szCs w:val="18"/>
                <w:lang w:val="en-US" w:eastAsia="zh-CN"/>
              </w:rPr>
              <w:t>38</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期A（纯享款）】（适用【A】类份额）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期现汇B（纯享款）】（适用【B】类份额）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w:t>
            </w:r>
            <w:r>
              <w:rPr>
                <w:rFonts w:hint="eastAsia" w:ascii="宋体" w:hAnsi="宋体" w:cs="仿宋_GB2312"/>
                <w:kern w:val="0"/>
                <w:sz w:val="18"/>
                <w:szCs w:val="18"/>
              </w:rPr>
              <w:t>钞</w:t>
            </w:r>
            <w:r>
              <w:rPr>
                <w:rFonts w:ascii="宋体" w:hAnsi="宋体"/>
                <w:bCs/>
                <w:sz w:val="18"/>
                <w:szCs w:val="18"/>
              </w:rPr>
              <w:t>C</w:t>
            </w:r>
            <w:r>
              <w:rPr>
                <w:rFonts w:hint="eastAsia" w:ascii="宋体" w:hAnsi="宋体"/>
                <w:bCs/>
                <w:sz w:val="18"/>
                <w:szCs w:val="18"/>
              </w:rPr>
              <w:t>（纯享款）】（适用【</w:t>
            </w:r>
            <w:r>
              <w:rPr>
                <w:rFonts w:ascii="宋体" w:hAnsi="宋体"/>
                <w:bCs/>
                <w:sz w:val="18"/>
                <w:szCs w:val="18"/>
              </w:rPr>
              <w:t>C</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D</w:t>
            </w:r>
            <w:r>
              <w:rPr>
                <w:rFonts w:hint="eastAsia" w:ascii="宋体" w:hAnsi="宋体"/>
                <w:bCs/>
                <w:sz w:val="18"/>
                <w:szCs w:val="18"/>
              </w:rPr>
              <w:t>（纯享款）】（适用【</w:t>
            </w:r>
            <w:r>
              <w:rPr>
                <w:rFonts w:hint="eastAsia" w:ascii="宋体" w:hAnsi="宋体"/>
                <w:bCs/>
                <w:sz w:val="18"/>
                <w:szCs w:val="18"/>
                <w:lang w:val="en-US" w:eastAsia="zh-CN"/>
              </w:rPr>
              <w:t>D</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E</w:t>
            </w:r>
            <w:r>
              <w:rPr>
                <w:rFonts w:hint="eastAsia" w:ascii="宋体" w:hAnsi="宋体"/>
                <w:bCs/>
                <w:sz w:val="18"/>
                <w:szCs w:val="18"/>
              </w:rPr>
              <w:t>（纯享款）】（适用【</w:t>
            </w:r>
            <w:r>
              <w:rPr>
                <w:rFonts w:hint="eastAsia" w:ascii="宋体" w:hAnsi="宋体"/>
                <w:bCs/>
                <w:sz w:val="18"/>
                <w:szCs w:val="18"/>
                <w:lang w:val="en-US" w:eastAsia="zh-CN"/>
              </w:rPr>
              <w:t>E</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F</w:t>
            </w:r>
            <w:r>
              <w:rPr>
                <w:rFonts w:hint="eastAsia" w:ascii="宋体" w:hAnsi="宋体"/>
                <w:bCs/>
                <w:sz w:val="18"/>
                <w:szCs w:val="18"/>
              </w:rPr>
              <w:t>（纯享款）】（适用【</w:t>
            </w:r>
            <w:r>
              <w:rPr>
                <w:rFonts w:hint="eastAsia" w:ascii="宋体" w:hAnsi="宋体"/>
                <w:bCs/>
                <w:sz w:val="18"/>
                <w:szCs w:val="18"/>
                <w:lang w:val="en-US" w:eastAsia="zh-CN"/>
              </w:rPr>
              <w:t>F</w:t>
            </w:r>
            <w:r>
              <w:rPr>
                <w:rFonts w:hint="eastAsia" w:ascii="宋体" w:hAnsi="宋体"/>
                <w:bCs/>
                <w:sz w:val="18"/>
                <w:szCs w:val="18"/>
              </w:rPr>
              <w:t>】类份额）</w:t>
            </w:r>
          </w:p>
          <w:p>
            <w:pPr>
              <w:spacing w:line="360" w:lineRule="auto"/>
              <w:jc w:val="left"/>
              <w:rPr>
                <w:rFonts w:ascii="宋体" w:hAnsi="宋体"/>
                <w:bCs/>
                <w:sz w:val="18"/>
                <w:szCs w:val="18"/>
              </w:rPr>
            </w:pPr>
            <w:r>
              <w:rPr>
                <w:rFonts w:hint="eastAsia" w:ascii="宋体" w:hAnsi="宋体"/>
                <w:bCs/>
                <w:sz w:val="18"/>
                <w:szCs w:val="18"/>
              </w:rPr>
              <w:t>【汇利稳健六个月封闭式1</w:t>
            </w:r>
            <w:r>
              <w:rPr>
                <w:rFonts w:hint="eastAsia" w:ascii="宋体" w:hAnsi="宋体"/>
                <w:bCs/>
                <w:sz w:val="18"/>
                <w:szCs w:val="18"/>
                <w:lang w:val="en-US" w:eastAsia="zh-CN"/>
              </w:rPr>
              <w:t>38</w:t>
            </w:r>
            <w:r>
              <w:rPr>
                <w:rFonts w:hint="eastAsia" w:ascii="宋体" w:hAnsi="宋体"/>
                <w:bCs/>
                <w:sz w:val="18"/>
                <w:szCs w:val="18"/>
              </w:rPr>
              <w:t>期现汇</w:t>
            </w:r>
            <w:r>
              <w:rPr>
                <w:rFonts w:hint="eastAsia" w:ascii="宋体" w:hAnsi="宋体"/>
                <w:bCs/>
                <w:sz w:val="18"/>
                <w:szCs w:val="18"/>
                <w:lang w:val="en-US" w:eastAsia="zh-CN"/>
              </w:rPr>
              <w:t>G</w:t>
            </w:r>
            <w:r>
              <w:rPr>
                <w:rFonts w:hint="eastAsia" w:ascii="宋体" w:hAnsi="宋体"/>
                <w:bCs/>
                <w:sz w:val="18"/>
                <w:szCs w:val="18"/>
              </w:rPr>
              <w:t>（纯享款）】（适用【</w:t>
            </w:r>
            <w:r>
              <w:rPr>
                <w:rFonts w:hint="eastAsia" w:ascii="宋体" w:hAnsi="宋体"/>
                <w:bCs/>
                <w:sz w:val="18"/>
                <w:szCs w:val="18"/>
                <w:lang w:val="en-US" w:eastAsia="zh-CN"/>
              </w:rPr>
              <w:t>G</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vAlign w:val="top"/>
          </w:tcPr>
          <w:p>
            <w:pPr>
              <w:spacing w:line="360" w:lineRule="auto"/>
              <w:jc w:val="left"/>
              <w:rPr>
                <w:rFonts w:ascii="宋体" w:hAnsi="宋体"/>
                <w:bCs/>
                <w:sz w:val="18"/>
                <w:szCs w:val="18"/>
              </w:rPr>
            </w:pPr>
            <w:r>
              <w:rPr>
                <w:rFonts w:hint="eastAsia" w:ascii="宋体" w:hAnsi="宋体"/>
                <w:bCs/>
                <w:sz w:val="18"/>
                <w:szCs w:val="18"/>
              </w:rPr>
              <w:t>【</w:t>
            </w:r>
            <w:r>
              <w:rPr>
                <w:rFonts w:hint="eastAsia" w:ascii="宋体" w:hAnsi="宋体"/>
                <w:bCs/>
                <w:sz w:val="18"/>
                <w:szCs w:val="18"/>
                <w:lang w:val="en-US" w:eastAsia="zh-CN"/>
              </w:rPr>
              <w:t>Z7002024003260</w:t>
            </w:r>
            <w:r>
              <w:rPr>
                <w:rFonts w:hint="eastAsia" w:ascii="宋体" w:hAnsi="宋体"/>
                <w:bCs/>
                <w:sz w:val="18"/>
                <w:szCs w:val="18"/>
              </w:rPr>
              <w:t>】注：投资者可依据理财产品登记编码在中国理财网查询产品信息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ascii="宋体" w:hAnsi="宋体"/>
                <w:bCs/>
                <w:color w:val="000000" w:themeColor="text1"/>
                <w:sz w:val="18"/>
                <w:szCs w:val="18"/>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vAlign w:val="center"/>
          </w:tcPr>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14:textFill>
                  <w14:solidFill>
                    <w14:schemeClr w14:val="tx1"/>
                  </w14:solidFill>
                </w14:textFill>
              </w:rPr>
              <w:t>A】（适用【A】类份额）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14:textFill>
                  <w14:solidFill>
                    <w14:schemeClr w14:val="tx1"/>
                  </w14:solidFill>
                </w14:textFill>
              </w:rPr>
              <w:t>B】（适用【B】类份额）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D</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E</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F</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9S6M</w:t>
            </w:r>
            <w:r>
              <w:rPr>
                <w:rFonts w:hint="eastAsia" w:ascii="宋体" w:hAnsi="宋体"/>
                <w:bCs/>
                <w:sz w:val="18"/>
                <w:szCs w:val="18"/>
              </w:rPr>
              <w:t>1</w:t>
            </w:r>
            <w:r>
              <w:rPr>
                <w:rFonts w:hint="eastAsia" w:ascii="宋体" w:hAnsi="宋体"/>
                <w:bCs/>
                <w:sz w:val="18"/>
                <w:szCs w:val="18"/>
                <w:lang w:val="en-US" w:eastAsia="zh-CN"/>
              </w:rPr>
              <w:t>38</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G</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美元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hint="eastAsia" w:asciiTheme="majorEastAsia" w:hAnsiTheme="majorEastAsia" w:eastAsiaTheme="majorEastAsia"/>
                <w:bCs/>
                <w:sz w:val="18"/>
                <w:szCs w:val="18"/>
                <w:lang w:val="en-US" w:eastAsia="zh-CN"/>
              </w:rPr>
            </w:pP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r>
              <w:rPr>
                <w:rFonts w:hint="eastAsia" w:asciiTheme="majorEastAsia" w:hAnsiTheme="majorEastAsia" w:eastAsiaTheme="majorEastAsia"/>
                <w:bCs/>
                <w:color w:val="000000" w:themeColor="text1"/>
                <w:sz w:val="18"/>
                <w:szCs w:val="18"/>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color w:val="000000" w:themeColor="text1"/>
                <w:sz w:val="18"/>
                <w:szCs w:val="18"/>
                <w14:textFill>
                  <w14:solidFill>
                    <w14:schemeClr w14:val="tx1"/>
                  </w14:solidFill>
                </w14:textFill>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0.4</w:t>
            </w:r>
            <w:r>
              <w:rPr>
                <w:rFonts w:hint="eastAsia" w:asciiTheme="majorEastAsia" w:hAnsiTheme="majorEastAsia" w:eastAsiaTheme="majorEastAsia"/>
                <w:bCs/>
                <w:sz w:val="18"/>
                <w:szCs w:val="18"/>
              </w:rPr>
              <w:t>】亿美元，最小成立规模为【/】亿美元。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■有固定期限：【</w:t>
            </w:r>
            <w:r>
              <w:rPr>
                <w:rFonts w:asciiTheme="majorEastAsia" w:hAnsiTheme="majorEastAsia" w:eastAsiaTheme="majorEastAsia"/>
                <w:bCs/>
                <w:color w:val="000000" w:themeColor="text1"/>
                <w:sz w:val="18"/>
                <w:szCs w:val="18"/>
                <w14:textFill>
                  <w14:solidFill>
                    <w14:schemeClr w14:val="tx1"/>
                  </w14:solidFill>
                </w14:textFill>
              </w:rPr>
              <w:t>18</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color w:val="000000" w:themeColor="text1"/>
                <w:sz w:val="18"/>
                <w:szCs w:val="18"/>
                <w14:textFill>
                  <w14:solidFill>
                    <w14:schemeClr w14:val="tx1"/>
                  </w14:solidFill>
                </w14:textFill>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w:t>
            </w:r>
            <w:r>
              <w:rPr>
                <w:rFonts w:cs="Times New Roman" w:asciiTheme="minorEastAsia" w:hAnsiTheme="minorEastAsia"/>
                <w:color w:val="000000" w:themeColor="text1"/>
                <w:sz w:val="18"/>
                <w:szCs w:val="18"/>
                <w14:textFill>
                  <w14:solidFill>
                    <w14:schemeClr w14:val="tx1"/>
                  </w14:solidFill>
                </w14:textFill>
              </w:rPr>
              <w:t>2025】年【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9</w:t>
            </w:r>
            <w:r>
              <w:rPr>
                <w:rFonts w:cs="Times New Roman" w:asciiTheme="minorEastAsia" w:hAnsiTheme="minorEastAsia"/>
                <w:color w:val="000000" w:themeColor="text1"/>
                <w:sz w:val="18"/>
                <w:szCs w:val="18"/>
                <w14:textFill>
                  <w14:solidFill>
                    <w14:schemeClr w14:val="tx1"/>
                  </w14:solidFill>
                </w14:textFill>
              </w:rPr>
              <w:t>】</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【9:0</w:t>
            </w:r>
            <w:r>
              <w:rPr>
                <w:rFonts w:cs="Times New Roman" w:asciiTheme="minorEastAsia" w:hAnsiTheme="minorEastAsia"/>
                <w:sz w:val="18"/>
                <w:szCs w:val="18"/>
              </w:rPr>
              <w:t>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color w:val="000000" w:themeColor="text1"/>
                <w:sz w:val="18"/>
                <w:szCs w:val="18"/>
                <w14:textFill>
                  <w14:solidFill>
                    <w14:schemeClr w14:val="tx1"/>
                  </w14:solidFill>
                </w14:textFill>
              </w:rPr>
              <w:t>【2</w:t>
            </w:r>
            <w:r>
              <w:rPr>
                <w:rFonts w:cs="Times New Roman" w:asciiTheme="minorEastAsia" w:hAnsiTheme="minorEastAsia"/>
                <w:color w:val="000000" w:themeColor="text1"/>
                <w:sz w:val="18"/>
                <w:szCs w:val="18"/>
                <w14:textFill>
                  <w14:solidFill>
                    <w14:schemeClr w14:val="tx1"/>
                  </w14:solidFill>
                </w14:textFill>
              </w:rPr>
              <w:t>025】年【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16</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asciiTheme="majorEastAsia" w:hAnsiTheme="majorEastAsia" w:eastAsiaTheme="majorEastAsia"/>
                <w:color w:val="000000" w:themeColor="text1"/>
                <w:sz w:val="18"/>
                <w:szCs w:val="18"/>
                <w14:textFill>
                  <w14:solidFill>
                    <w14:schemeClr w14:val="tx1"/>
                  </w14:solidFill>
                </w14:textFill>
              </w:rPr>
              <w:t>【1</w:t>
            </w:r>
            <w:r>
              <w:rPr>
                <w:rFonts w:asciiTheme="majorEastAsia" w:hAnsiTheme="majorEastAsia" w:eastAsiaTheme="majorEastAsia"/>
                <w:color w:val="000000" w:themeColor="text1"/>
                <w:sz w:val="18"/>
                <w:szCs w:val="18"/>
                <w14:textFill>
                  <w14:solidFill>
                    <w14:schemeClr w14:val="tx1"/>
                  </w14:solidFill>
                </w14:textFill>
              </w:rPr>
              <w:t>7</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w:t>
            </w:r>
            <w:r>
              <w:rPr>
                <w:rFonts w:hint="eastAsia"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color w:val="000000" w:themeColor="text1"/>
                <w:sz w:val="18"/>
                <w:szCs w:val="18"/>
                <w14:textFill>
                  <w14:solidFill>
                    <w14:schemeClr w14:val="tx1"/>
                  </w14:solidFill>
                </w14:textFill>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w:t>
            </w:r>
            <w:r>
              <w:rPr>
                <w:rFonts w:cs="Times New Roman" w:asciiTheme="minorEastAsia" w:hAnsiTheme="minorEastAsia"/>
                <w:color w:val="000000" w:themeColor="text1"/>
                <w:sz w:val="18"/>
                <w:szCs w:val="18"/>
                <w14:textFill>
                  <w14:solidFill>
                    <w14:schemeClr w14:val="tx1"/>
                  </w14:solidFill>
                </w14:textFill>
              </w:rPr>
              <w:t>5</w:t>
            </w:r>
            <w:r>
              <w:rPr>
                <w:rFonts w:hint="eastAsia" w:cs="Times New Roman" w:asciiTheme="minorEastAsia" w:hAnsiTheme="minorEastAsia"/>
                <w:color w:val="000000" w:themeColor="text1"/>
                <w:sz w:val="18"/>
                <w:szCs w:val="18"/>
                <w14:textFill>
                  <w14:solidFill>
                    <w14:schemeClr w14:val="tx1"/>
                  </w14:solidFill>
                </w14:textFill>
              </w:rPr>
              <w:t>】年【</w:t>
            </w:r>
            <w:r>
              <w:rPr>
                <w:rFonts w:hint="eastAsia" w:cs="Times New Roman" w:asciiTheme="minorEastAsia" w:hAnsiTheme="minorEastAsia"/>
                <w:color w:val="000000" w:themeColor="text1"/>
                <w:sz w:val="18"/>
                <w:szCs w:val="18"/>
                <w:lang w:val="en-US" w:eastAsia="zh-CN"/>
                <w14:textFill>
                  <w14:solidFill>
                    <w14:schemeClr w14:val="tx1"/>
                  </w14:solidFill>
                </w14:textFill>
              </w:rPr>
              <w:t>4</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17</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color w:val="000000" w:themeColor="text1"/>
                <w:sz w:val="18"/>
                <w:szCs w:val="18"/>
                <w14:textFill>
                  <w14:solidFill>
                    <w14:schemeClr w14:val="tx1"/>
                  </w14:solidFill>
                </w14:textFill>
              </w:rPr>
              <w:t>【2025】年【</w:t>
            </w:r>
            <w:r>
              <w:rPr>
                <w:rFonts w:hint="eastAsia" w:cs="Times New Roman" w:asciiTheme="minorEastAsia" w:hAnsiTheme="minorEastAsia"/>
                <w:color w:val="000000" w:themeColor="text1"/>
                <w:sz w:val="18"/>
                <w:szCs w:val="18"/>
                <w:lang w:val="en-US" w:eastAsia="zh-CN"/>
                <w14:textFill>
                  <w14:solidFill>
                    <w14:schemeClr w14:val="tx1"/>
                  </w14:solidFill>
                </w14:textFill>
              </w:rPr>
              <w:t>10</w:t>
            </w:r>
            <w:r>
              <w:rPr>
                <w:rFonts w:hint="eastAsia" w:cs="Times New Roman" w:asciiTheme="minorEastAsia" w:hAnsiTheme="minorEastAsia"/>
                <w:color w:val="000000" w:themeColor="text1"/>
                <w:sz w:val="18"/>
                <w:szCs w:val="18"/>
                <w14:textFill>
                  <w14:solidFill>
                    <w14:schemeClr w14:val="tx1"/>
                  </w14:solidFill>
                </w14:textFill>
              </w:rPr>
              <w:t>】月【</w:t>
            </w:r>
            <w:r>
              <w:rPr>
                <w:rFonts w:hint="eastAsia" w:cs="Times New Roman" w:asciiTheme="minorEastAsia" w:hAnsiTheme="minorEastAsia"/>
                <w:color w:val="000000" w:themeColor="text1"/>
                <w:sz w:val="18"/>
                <w:szCs w:val="18"/>
                <w:lang w:val="en-US" w:eastAsia="zh-CN"/>
                <w14:textFill>
                  <w14:solidFill>
                    <w14:schemeClr w14:val="tx1"/>
                  </w14:solidFill>
                </w14:textFill>
              </w:rPr>
              <w:t>16</w:t>
            </w:r>
            <w:r>
              <w:rPr>
                <w:rFonts w:hint="eastAsia" w:cs="Times New Roman" w:asciiTheme="minorEastAsia" w:hAnsiTheme="minorEastAsia"/>
                <w:color w:val="000000" w:themeColor="text1"/>
                <w:sz w:val="18"/>
                <w:szCs w:val="18"/>
                <w14:textFill>
                  <w14:solidFill>
                    <w14:schemeClr w14:val="tx1"/>
                  </w14:solidFill>
                </w14:textFill>
              </w:rPr>
              <w:t>】日</w:t>
            </w:r>
            <w:r>
              <w:rPr>
                <w:rFonts w:hint="eastAsia" w:cs="Times New Roman" w:asciiTheme="minorEastAsia" w:hAnsiTheme="minorEastAsia"/>
                <w:sz w:val="18"/>
                <w:szCs w:val="18"/>
              </w:rPr>
              <w:t>（遇节假日顺延）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购买起点金额为【1】美元；超出起点金额的部分以【0.01】美元的整数倍递增。</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15"/>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5"/>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5"/>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1.00美</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【基于境内美元存款、存单收益率水平，管理人对本产品设定业绩比较基准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65</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75</w:t>
            </w:r>
            <w:r>
              <w:rPr>
                <w:rFonts w:hint="eastAsia" w:asciiTheme="majorEastAsia" w:hAnsiTheme="majorEastAsia"/>
                <w:color w:val="000000" w:themeColor="text1"/>
                <w:sz w:val="18"/>
                <w14:textFill>
                  <w14:solidFill>
                    <w14:schemeClr w14:val="tx1"/>
                  </w14:solidFill>
                </w14:textFill>
              </w:rPr>
              <w:t>】%（适用【A】类份额）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hint="eastAsia" w:asciiTheme="majorEastAsia" w:hAnsiTheme="majorEastAsia"/>
                <w:color w:val="000000" w:themeColor="text1"/>
                <w:sz w:val="18"/>
                <w14:textFill>
                  <w14:solidFill>
                    <w14:schemeClr w14:val="tx1"/>
                  </w14:solidFill>
                </w14:textFill>
              </w:rPr>
              <w:t>】%（适用【B】类份额）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hint="eastAsia" w:asciiTheme="majorEastAsia" w:hAnsiTheme="majorEastAsia"/>
                <w:color w:val="000000" w:themeColor="text1"/>
                <w:sz w:val="18"/>
                <w14:textFill>
                  <w14:solidFill>
                    <w14:schemeClr w14:val="tx1"/>
                  </w14:solidFill>
                </w14:textFill>
              </w:rPr>
              <w:t>】%（适用【C】类份额）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75</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85</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D</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70</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80</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E</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65</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75</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F</w:t>
            </w:r>
            <w:r>
              <w:rPr>
                <w:rFonts w:hint="eastAsia" w:asciiTheme="majorEastAsia" w:hAnsiTheme="majorEastAsia"/>
                <w:color w:val="000000" w:themeColor="text1"/>
                <w:sz w:val="18"/>
                <w14:textFill>
                  <w14:solidFill>
                    <w14:schemeClr w14:val="tx1"/>
                  </w14:solidFill>
                </w14:textFill>
              </w:rPr>
              <w:t>】类份额）</w:t>
            </w:r>
          </w:p>
          <w:p>
            <w:pPr>
              <w:spacing w:line="360" w:lineRule="auto"/>
              <w:jc w:val="left"/>
              <w:rPr>
                <w:rFonts w:hint="eastAsia" w:asciiTheme="majorEastAsia" w:hAnsiTheme="majorEastAsia"/>
                <w:color w:val="000000" w:themeColor="text1"/>
                <w:sz w:val="18"/>
                <w14:textFill>
                  <w14:solidFill>
                    <w14:schemeClr w14:val="tx1"/>
                  </w14:solidFill>
                </w14:textFill>
              </w:rPr>
            </w:pPr>
            <w:r>
              <w:rPr>
                <w:rFonts w:hint="eastAsia" w:asciiTheme="majorEastAsia" w:hAnsiTheme="majorEastAsia"/>
                <w:color w:val="000000" w:themeColor="text1"/>
                <w:sz w:val="18"/>
                <w14:textFill>
                  <w14:solidFill>
                    <w14:schemeClr w14:val="tx1"/>
                  </w14:solidFill>
                </w14:textFill>
              </w:rPr>
              <w:t>年化【</w:t>
            </w:r>
            <w:r>
              <w:rPr>
                <w:rFonts w:asciiTheme="majorEastAsia" w:hAnsiTheme="majorEastAsia"/>
                <w:color w:val="000000" w:themeColor="text1"/>
                <w:sz w:val="18"/>
                <w14:textFill>
                  <w14:solidFill>
                    <w14:schemeClr w14:val="tx1"/>
                  </w14:solidFill>
                </w14:textFill>
              </w:rPr>
              <w:t>3.</w:t>
            </w:r>
            <w:r>
              <w:rPr>
                <w:rFonts w:hint="eastAsia" w:asciiTheme="majorEastAsia" w:hAnsiTheme="majorEastAsia"/>
                <w:color w:val="000000" w:themeColor="text1"/>
                <w:sz w:val="18"/>
                <w:lang w:val="en-US" w:eastAsia="zh-CN"/>
                <w14:textFill>
                  <w14:solidFill>
                    <w14:schemeClr w14:val="tx1"/>
                  </w14:solidFill>
                </w14:textFill>
              </w:rPr>
              <w:t>65</w:t>
            </w:r>
            <w:r>
              <w:rPr>
                <w:rFonts w:asciiTheme="majorEastAsia" w:hAnsiTheme="majorEastAsia"/>
                <w:color w:val="000000" w:themeColor="text1"/>
                <w:sz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3.</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75</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color w:val="000000" w:themeColor="text1"/>
                <w:sz w:val="18"/>
                <w14:textFill>
                  <w14:solidFill>
                    <w14:schemeClr w14:val="tx1"/>
                  </w14:solidFill>
                </w14:textFill>
              </w:rPr>
              <w:t>%（适用【</w:t>
            </w:r>
            <w:r>
              <w:rPr>
                <w:rFonts w:hint="eastAsia" w:asciiTheme="majorEastAsia" w:hAnsiTheme="majorEastAsia"/>
                <w:color w:val="000000" w:themeColor="text1"/>
                <w:sz w:val="18"/>
                <w:lang w:val="en-US" w:eastAsia="zh-CN"/>
                <w14:textFill>
                  <w14:solidFill>
                    <w14:schemeClr w14:val="tx1"/>
                  </w14:solidFill>
                </w14:textFill>
              </w:rPr>
              <w:t>G</w:t>
            </w:r>
            <w:r>
              <w:rPr>
                <w:rFonts w:hint="eastAsia" w:asciiTheme="majorEastAsia" w:hAnsiTheme="majorEastAsia"/>
                <w:color w:val="000000" w:themeColor="text1"/>
                <w:sz w:val="18"/>
                <w14:textFill>
                  <w14:solidFill>
                    <w14:schemeClr w14:val="tx1"/>
                  </w14:solidFill>
                </w14:textFill>
              </w:rPr>
              <w:t>】类份额）</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业绩报酬计提基准：【各类份额对应的业绩比较基准上限】</w:t>
            </w:r>
          </w:p>
          <w:p>
            <w:pPr>
              <w:spacing w:line="360" w:lineRule="auto"/>
              <w:jc w:val="left"/>
              <w:rPr>
                <w:rFonts w:ascii="宋体" w:hAnsi="宋体"/>
                <w:bCs/>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30</w:t>
            </w:r>
            <w:r>
              <w:rPr>
                <w:rFonts w:hint="eastAsia" w:asciiTheme="majorEastAsia" w:hAnsiTheme="majorEastAsia" w:eastAsiaTheme="majorEastAsia"/>
                <w:bCs/>
                <w:color w:val="000000" w:themeColor="text1"/>
                <w:sz w:val="18"/>
                <w:szCs w:val="18"/>
                <w14:textFill>
                  <w14:solidFill>
                    <w14:schemeClr w14:val="tx1"/>
                  </w14:solidFill>
                </w14:textFill>
              </w:rPr>
              <w:t>】%（适用【A】类份额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asciiTheme="majorEastAsia" w:hAnsiTheme="majorEastAsia" w:eastAsiaTheme="majorEastAsia"/>
                <w:bCs/>
                <w:color w:val="000000" w:themeColor="text1"/>
                <w:sz w:val="18"/>
                <w:szCs w:val="18"/>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】%（适用【B】类份额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asciiTheme="majorEastAsia" w:hAnsiTheme="majorEastAsia" w:eastAsiaTheme="majorEastAsia"/>
                <w:bCs/>
                <w:color w:val="000000" w:themeColor="text1"/>
                <w:sz w:val="18"/>
                <w:szCs w:val="18"/>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】%（适用【C】类份额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20</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D</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25</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E</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30</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F</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hint="eastAsia" w:hAnsi="宋体"/>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年化费率</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30</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G</w:t>
            </w:r>
            <w:r>
              <w:rPr>
                <w:rFonts w:hint="eastAsia" w:asciiTheme="majorEastAsia" w:hAnsiTheme="majorEastAsia" w:eastAsiaTheme="majorEastAsia"/>
                <w:bCs/>
                <w:color w:val="000000" w:themeColor="text1"/>
                <w:sz w:val="18"/>
                <w:szCs w:val="18"/>
                <w14:textFill>
                  <w14:solidFill>
                    <w14:schemeClr w14:val="tx1"/>
                  </w14:solidFill>
                </w14:textFill>
              </w:rPr>
              <w:t>】类份额</w:t>
            </w:r>
            <w:r>
              <w:rPr>
                <w:rFonts w:hint="eastAsia" w:hAnsi="宋体"/>
                <w:bCs/>
                <w:color w:val="000000" w:themeColor="text1"/>
                <w:sz w:val="18"/>
                <w:szCs w:val="18"/>
                <w14:textFill>
                  <w14:solidFill>
                    <w14:schemeClr w14:val="tx1"/>
                  </w14:solidFill>
                </w14:textFill>
              </w:rPr>
              <w:t>）</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w:t>
            </w:r>
            <w:r>
              <w:rPr>
                <w:rFonts w:asciiTheme="majorEastAsia" w:hAnsiTheme="majorEastAsia" w:eastAsiaTheme="majorEastAsia"/>
                <w:b/>
                <w:bCs/>
                <w:color w:val="000000" w:themeColor="text1"/>
                <w:sz w:val="18"/>
                <w:szCs w:val="18"/>
                <w14:textFill>
                  <w14:solidFill>
                    <w14:schemeClr w14:val="tx1"/>
                  </w14:solidFill>
                </w14:textFill>
              </w:rPr>
              <w:t>2</w:t>
            </w:r>
            <w:r>
              <w:rPr>
                <w:rFonts w:hint="eastAsia" w:asciiTheme="majorEastAsia" w:hAnsiTheme="majorEastAsia" w:eastAsiaTheme="majorEastAsia"/>
                <w:b/>
                <w:bCs/>
                <w:color w:val="000000" w:themeColor="text1"/>
                <w:sz w:val="18"/>
                <w:szCs w:val="18"/>
                <w14:textFill>
                  <w14:solidFill>
                    <w14:schemeClr w14:val="tx1"/>
                  </w14:solidFill>
                </w14:textFill>
              </w:rPr>
              <w:t>）投资管理费：</w:t>
            </w: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bCs/>
                <w:color w:val="000000" w:themeColor="text1"/>
                <w:sz w:val="18"/>
                <w:szCs w:val="18"/>
                <w14:textFill>
                  <w14:solidFill>
                    <w14:schemeClr w14:val="tx1"/>
                  </w14:solidFill>
                </w14:textFill>
              </w:rPr>
              <w:t>【0.</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30</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3</w:t>
            </w:r>
            <w:r>
              <w:rPr>
                <w:rFonts w:hint="eastAsia" w:ascii="宋体" w:hAnsi="宋体"/>
                <w:b/>
                <w:bCs/>
                <w:color w:val="000000" w:themeColor="text1"/>
                <w:sz w:val="18"/>
                <w:szCs w:val="18"/>
                <w14:textFill>
                  <w14:solidFill>
                    <w14:schemeClr w14:val="tx1"/>
                  </w14:solidFill>
                </w14:textFill>
              </w:rPr>
              <w:t>）产品托管费：</w:t>
            </w:r>
            <w:r>
              <w:rPr>
                <w:rFonts w:hint="eastAsia" w:asciiTheme="majorEastAsia" w:hAnsiTheme="majorEastAsia" w:eastAsiaTheme="majorEastAsia"/>
                <w:bCs/>
                <w:color w:val="000000" w:themeColor="text1"/>
                <w:sz w:val="18"/>
                <w:szCs w:val="18"/>
                <w14:textFill>
                  <w14:solidFill>
                    <w14:schemeClr w14:val="tx1"/>
                  </w14:solidFill>
                </w14:textFill>
              </w:rPr>
              <w:t>年化</w:t>
            </w:r>
            <w:r>
              <w:rPr>
                <w:rFonts w:asciiTheme="majorEastAsia" w:hAnsiTheme="majorEastAsia" w:eastAsiaTheme="majorEastAsia"/>
                <w:bCs/>
                <w:color w:val="000000" w:themeColor="text1"/>
                <w:sz w:val="18"/>
                <w:szCs w:val="18"/>
                <w14:textFill>
                  <w14:solidFill>
                    <w14:schemeClr w14:val="tx1"/>
                  </w14:solidFill>
                </w14:textFill>
              </w:rPr>
              <w:t>费率</w:t>
            </w:r>
            <w:r>
              <w:rPr>
                <w:rFonts w:hint="eastAsia" w:asciiTheme="majorEastAsia" w:hAnsiTheme="majorEastAsia" w:eastAsiaTheme="majorEastAsia"/>
                <w:color w:val="000000" w:themeColor="text1"/>
                <w:sz w:val="18"/>
                <w:szCs w:val="18"/>
                <w14:textFill>
                  <w14:solidFill>
                    <w14:schemeClr w14:val="tx1"/>
                  </w14:solidFill>
                </w14:textFill>
              </w:rPr>
              <w:t>【0</w:t>
            </w:r>
            <w:r>
              <w:rPr>
                <w:rFonts w:asciiTheme="majorEastAsia" w:hAnsiTheme="majorEastAsia" w:eastAsiaTheme="majorEastAsia"/>
                <w:color w:val="000000" w:themeColor="text1"/>
                <w:sz w:val="18"/>
                <w:szCs w:val="18"/>
                <w14:textFill>
                  <w14:solidFill>
                    <w14:schemeClr w14:val="tx1"/>
                  </w14:solidFill>
                </w14:textFill>
              </w:rPr>
              <w:t>.03】</w:t>
            </w:r>
            <w:r>
              <w:rPr>
                <w:rFonts w:hint="eastAsia" w:asciiTheme="majorEastAsia" w:hAnsiTheme="majorEastAsia" w:eastAsiaTheme="majorEastAsia"/>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w:t>
            </w:r>
            <w:r>
              <w:rPr>
                <w:rFonts w:ascii="宋体" w:hAnsi="宋体"/>
                <w:b/>
                <w:bCs/>
                <w:color w:val="000000" w:themeColor="text1"/>
                <w:sz w:val="18"/>
                <w:szCs w:val="18"/>
                <w14:textFill>
                  <w14:solidFill>
                    <w14:schemeClr w14:val="tx1"/>
                  </w14:solidFill>
                </w14:textFill>
              </w:rPr>
              <w:t>4</w:t>
            </w:r>
            <w:r>
              <w:rPr>
                <w:rFonts w:hint="eastAsia" w:ascii="宋体" w:hAnsi="宋体"/>
                <w:b/>
                <w:bCs/>
                <w:color w:val="000000" w:themeColor="text1"/>
                <w:sz w:val="18"/>
                <w:szCs w:val="18"/>
                <w14:textFill>
                  <w14:solidFill>
                    <w14:schemeClr w14:val="tx1"/>
                  </w14:solidFill>
                </w14:textFill>
              </w:rPr>
              <w:t>）超额业绩报酬：</w:t>
            </w:r>
          </w:p>
          <w:p>
            <w:pPr>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5"/>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5"/>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5"/>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5"/>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
          <w:bCs/>
          <w:sz w:val="18"/>
          <w:szCs w:val="18"/>
        </w:rPr>
      </w:pPr>
      <w:r>
        <w:rPr>
          <w:rFonts w:hint="eastAsia" w:asciiTheme="minorEastAsia" w:hAnsiTheme="minorEastAsia"/>
          <w:bCs/>
          <w:sz w:val="18"/>
          <w:szCs w:val="18"/>
        </w:rPr>
        <w:t>认购期/募集期内投资者可提交认购申请。提交认购申请并不代表认购成功，产品管理人将在认购确认日确认投资者是否认购成功，是否成功以管理人的确认结果为准。</w:t>
      </w: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美元。</w:t>
      </w:r>
    </w:p>
    <w:p>
      <w:pPr>
        <w:pStyle w:val="1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5"/>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5"/>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5"/>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5"/>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5"/>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5"/>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5"/>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27226"/>
      <w:bookmarkStart w:id="78" w:name="_Toc29948"/>
      <w:bookmarkStart w:id="79" w:name="_Toc22074"/>
      <w:bookmarkStart w:id="80" w:name="_Toc7151"/>
      <w:bookmarkStart w:id="81" w:name="_Toc15203"/>
      <w:bookmarkStart w:id="82" w:name="_Toc79154668"/>
      <w:bookmarkStart w:id="83" w:name="_Toc90742688"/>
      <w:bookmarkStart w:id="84" w:name="_Toc90742390"/>
      <w:bookmarkStart w:id="85" w:name="_Toc29784"/>
      <w:bookmarkStart w:id="86" w:name="_Toc6714"/>
      <w:bookmarkStart w:id="87" w:name="_Toc16265"/>
      <w:bookmarkStart w:id="88" w:name="_Toc3266"/>
      <w:bookmarkStart w:id="89" w:name="_Toc27189"/>
      <w:bookmarkStart w:id="90" w:name="_Toc90742321"/>
      <w:bookmarkStart w:id="91"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5"/>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5"/>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w:t>
      </w:r>
      <w:r>
        <w:rPr>
          <w:rFonts w:hint="eastAsia" w:asciiTheme="majorEastAsia" w:hAnsiTheme="majorEastAsia" w:eastAsiaTheme="majorEastAsia"/>
          <w:sz w:val="18"/>
          <w:szCs w:val="18"/>
        </w:rPr>
        <w:t>本产品为固定收益类产品，在严格管理投资风险的基础上，追求资产的长期稳定收益</w:t>
      </w:r>
      <w:r>
        <w:rPr>
          <w:rFonts w:hint="eastAsia" w:asciiTheme="majorEastAsia" w:hAnsiTheme="majorEastAsia" w:eastAsiaTheme="majorEastAsia"/>
          <w:bCs/>
          <w:color w:val="auto"/>
          <w:sz w:val="18"/>
          <w:szCs w:val="18"/>
        </w:rPr>
        <w:t>】</w:t>
      </w:r>
    </w:p>
    <w:p>
      <w:pPr>
        <w:pStyle w:val="15"/>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银行存款、境内同业存单等货币市场工具及其它资金融通工具。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本产品投资于存款、存单类资产及现金的比例不低于产品总资产的100%</w:t>
      </w:r>
      <w:r>
        <w:rPr>
          <w:rFonts w:asciiTheme="majorEastAsia" w:hAnsiTheme="majorEastAsia" w:eastAsiaTheme="majorEastAsia"/>
          <w:bCs/>
          <w:kern w:val="0"/>
          <w:sz w:val="18"/>
          <w:szCs w:val="18"/>
        </w:rPr>
        <w:t>。</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5"/>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5"/>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1</w:t>
      </w:r>
      <w:r>
        <w:rPr>
          <w:rFonts w:hint="eastAsia" w:ascii="宋体" w:hAnsi="宋体"/>
          <w:color w:val="000000" w:themeColor="text1"/>
          <w:sz w:val="18"/>
          <w14:textFill>
            <w14:solidFill>
              <w14:schemeClr w14:val="tx1"/>
            </w14:solidFill>
          </w14:textFill>
        </w:rPr>
        <w:t>）</w:t>
      </w:r>
      <w:r>
        <w:rPr>
          <w:rFonts w:ascii="宋体" w:hAnsi="宋体"/>
          <w:color w:val="000000" w:themeColor="text1"/>
          <w:sz w:val="18"/>
          <w14:textFill>
            <w14:solidFill>
              <w14:schemeClr w14:val="tx1"/>
            </w14:solidFill>
          </w14:textFill>
        </w:rPr>
        <w:t>本产品</w:t>
      </w:r>
      <w:r>
        <w:rPr>
          <w:rFonts w:ascii="宋体" w:hAnsi="宋体"/>
          <w:bCs/>
          <w:color w:val="000000" w:themeColor="text1"/>
          <w:sz w:val="18"/>
          <w:szCs w:val="18"/>
          <w14:textFill>
            <w14:solidFill>
              <w14:schemeClr w14:val="tx1"/>
            </w14:solidFill>
          </w14:textFill>
        </w:rPr>
        <w:t>不投资于股票等权益性资产</w:t>
      </w:r>
      <w:r>
        <w:rPr>
          <w:rFonts w:ascii="宋体" w:hAnsi="宋体"/>
          <w:color w:val="000000" w:themeColor="text1"/>
          <w:sz w:val="18"/>
          <w14:textFill>
            <w14:solidFill>
              <w14:schemeClr w14:val="tx1"/>
            </w14:solidFill>
          </w14:textFill>
        </w:rPr>
        <w:t>。</w:t>
      </w:r>
    </w:p>
    <w:p>
      <w:pPr>
        <w:spacing w:line="360" w:lineRule="auto"/>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2</w:t>
      </w:r>
      <w:r>
        <w:rPr>
          <w:rFonts w:hint="eastAsia" w:asciiTheme="majorEastAsia" w:hAnsiTheme="majorEastAsia" w:eastAsiaTheme="majorEastAsia"/>
          <w:bCs/>
          <w:color w:val="000000" w:themeColor="text1"/>
          <w:sz w:val="18"/>
          <w:szCs w:val="18"/>
          <w14:textFill>
            <w14:solidFill>
              <w14:schemeClr w14:val="tx1"/>
            </w14:solidFill>
          </w14:textFill>
        </w:rPr>
        <w:t>）本产品不以放大交易为目的借入现金，且借入现金的比例不得超过资产净值的10%。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本产品秉承稳健投资风格，全部投资境内商业银行的美元存款或者存单资产，无汇率敞口，信用风险低。为客户提供低风险、稳健策略美元产品。</w:t>
      </w: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21988"/>
      <w:bookmarkStart w:id="94" w:name="_Toc18526"/>
      <w:bookmarkStart w:id="95" w:name="_Toc139991735"/>
      <w:bookmarkStart w:id="96" w:name="_Toc79154669"/>
      <w:bookmarkStart w:id="97" w:name="_Toc17912"/>
      <w:bookmarkStart w:id="98" w:name="_Toc18797"/>
      <w:bookmarkStart w:id="99" w:name="_Toc1823"/>
      <w:bookmarkStart w:id="100" w:name="_Toc141703885"/>
      <w:bookmarkStart w:id="101" w:name="_Toc14893"/>
      <w:bookmarkStart w:id="102" w:name="_Toc116649654"/>
      <w:bookmarkStart w:id="103" w:name="_Toc4741"/>
      <w:bookmarkStart w:id="104" w:name="_Toc18329"/>
      <w:bookmarkStart w:id="105" w:name="_Toc7848"/>
      <w:bookmarkStart w:id="106" w:name="_Toc26986"/>
      <w:bookmarkStart w:id="107" w:name="_Toc74065742"/>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5"/>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5"/>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79392606"/>
      <w:bookmarkStart w:id="110" w:name="_Toc98560352"/>
      <w:bookmarkStart w:id="111" w:name="_Toc139991736"/>
      <w:bookmarkStart w:id="112" w:name="_Toc23822"/>
      <w:bookmarkStart w:id="113" w:name="_Toc123051452"/>
      <w:bookmarkStart w:id="114" w:name="_Toc17244"/>
      <w:bookmarkStart w:id="115" w:name="_Toc4003"/>
      <w:bookmarkStart w:id="116" w:name="_Toc10463"/>
      <w:bookmarkStart w:id="117" w:name="_Toc48649707"/>
      <w:bookmarkStart w:id="118" w:name="_Toc123102453"/>
      <w:bookmarkStart w:id="119" w:name="_Toc610"/>
      <w:bookmarkStart w:id="120" w:name="_Toc123112234"/>
      <w:bookmarkStart w:id="121" w:name="_Toc79154670"/>
      <w:bookmarkStart w:id="122" w:name="_Toc1270"/>
      <w:bookmarkStart w:id="123" w:name="_Toc141703886"/>
      <w:bookmarkStart w:id="124" w:name="_Toc7920"/>
      <w:bookmarkStart w:id="125" w:name="_Toc74065743"/>
      <w:bookmarkStart w:id="126" w:name="_Toc116649655"/>
      <w:bookmarkStart w:id="127" w:name="_Toc20733"/>
      <w:bookmarkStart w:id="128" w:name="_Toc1427"/>
      <w:bookmarkStart w:id="129" w:name="_Toc23261"/>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5"/>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5"/>
        <w:spacing w:line="360" w:lineRule="auto"/>
        <w:ind w:firstLine="361" w:firstLineChars="200"/>
        <w:rPr>
          <w:rFonts w:hAnsi="宋体"/>
          <w:b/>
          <w:bCs/>
          <w:sz w:val="18"/>
          <w:szCs w:val="18"/>
        </w:rPr>
      </w:pPr>
      <w:r>
        <w:rPr>
          <w:rFonts w:hint="eastAsia" w:hAnsi="宋体"/>
          <w:b/>
          <w:bCs/>
          <w:sz w:val="18"/>
          <w:szCs w:val="18"/>
        </w:rPr>
        <w:t>（一）估值目的</w:t>
      </w:r>
    </w:p>
    <w:p>
      <w:pPr>
        <w:pStyle w:val="15"/>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5"/>
        <w:spacing w:line="360" w:lineRule="auto"/>
        <w:ind w:firstLine="361" w:firstLineChars="200"/>
        <w:rPr>
          <w:rFonts w:hAnsi="宋体"/>
          <w:b/>
          <w:bCs/>
          <w:sz w:val="18"/>
          <w:szCs w:val="18"/>
        </w:rPr>
      </w:pPr>
      <w:r>
        <w:rPr>
          <w:rFonts w:hint="eastAsia" w:hAnsi="宋体"/>
          <w:b/>
          <w:bCs/>
          <w:sz w:val="18"/>
          <w:szCs w:val="18"/>
        </w:rPr>
        <w:t>（二）估值频率</w:t>
      </w:r>
    </w:p>
    <w:p>
      <w:pPr>
        <w:pStyle w:val="15"/>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5"/>
        <w:spacing w:line="360" w:lineRule="auto"/>
        <w:ind w:firstLine="452" w:firstLineChars="250"/>
        <w:rPr>
          <w:rFonts w:hAnsi="宋体"/>
          <w:b/>
          <w:bCs/>
          <w:sz w:val="18"/>
          <w:szCs w:val="18"/>
        </w:rPr>
      </w:pPr>
      <w:r>
        <w:rPr>
          <w:rFonts w:hint="eastAsia" w:hAnsi="宋体"/>
          <w:b/>
          <w:bCs/>
          <w:sz w:val="18"/>
          <w:szCs w:val="18"/>
        </w:rPr>
        <w:t>（三）估值对象</w:t>
      </w:r>
    </w:p>
    <w:p>
      <w:pPr>
        <w:pStyle w:val="15"/>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5"/>
        <w:spacing w:line="360" w:lineRule="auto"/>
        <w:ind w:firstLine="452" w:firstLineChars="250"/>
        <w:rPr>
          <w:rFonts w:hAnsi="宋体"/>
          <w:b/>
          <w:bCs/>
          <w:sz w:val="18"/>
          <w:szCs w:val="18"/>
        </w:rPr>
      </w:pPr>
      <w:r>
        <w:rPr>
          <w:rFonts w:hint="eastAsia" w:hAnsi="宋体"/>
          <w:b/>
          <w:bCs/>
          <w:sz w:val="18"/>
          <w:szCs w:val="18"/>
        </w:rPr>
        <w:t>（四）估值方法</w:t>
      </w:r>
    </w:p>
    <w:p>
      <w:pPr>
        <w:pStyle w:val="15"/>
        <w:spacing w:line="360" w:lineRule="auto"/>
        <w:ind w:firstLine="360" w:firstLineChars="200"/>
        <w:rPr>
          <w:rFonts w:hAnsi="宋体"/>
          <w:bCs/>
          <w:sz w:val="18"/>
          <w:szCs w:val="18"/>
        </w:rPr>
      </w:pPr>
      <w:r>
        <w:rPr>
          <w:rFonts w:hAnsi="宋体"/>
          <w:bCs/>
          <w:sz w:val="18"/>
          <w:szCs w:val="18"/>
        </w:rPr>
        <w:t>1.标准化债权类资产估值</w:t>
      </w:r>
    </w:p>
    <w:p>
      <w:pPr>
        <w:pStyle w:val="15"/>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5"/>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5"/>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5"/>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5"/>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5"/>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5"/>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5"/>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15"/>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5"/>
        <w:spacing w:line="360" w:lineRule="auto"/>
        <w:ind w:firstLine="360" w:firstLineChars="200"/>
        <w:rPr>
          <w:rFonts w:hAnsi="宋体"/>
          <w:sz w:val="18"/>
          <w:szCs w:val="18"/>
        </w:rPr>
      </w:pPr>
      <w:r>
        <w:rPr>
          <w:rFonts w:hAnsi="宋体"/>
          <w:bCs/>
          <w:sz w:val="18"/>
          <w:szCs w:val="18"/>
        </w:rPr>
        <w:t>3.非标准化债权类资产</w:t>
      </w:r>
    </w:p>
    <w:p>
      <w:pPr>
        <w:pStyle w:val="15"/>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5"/>
        <w:spacing w:line="360" w:lineRule="auto"/>
        <w:ind w:firstLine="360" w:firstLineChars="200"/>
        <w:rPr>
          <w:rFonts w:hAnsi="宋体"/>
          <w:bCs/>
          <w:sz w:val="18"/>
          <w:szCs w:val="18"/>
        </w:rPr>
      </w:pPr>
      <w:r>
        <w:rPr>
          <w:rFonts w:hAnsi="宋体"/>
          <w:bCs/>
          <w:sz w:val="18"/>
          <w:szCs w:val="18"/>
        </w:rPr>
        <w:t>4.上市公司股票估值</w:t>
      </w:r>
    </w:p>
    <w:p>
      <w:pPr>
        <w:pStyle w:val="15"/>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5"/>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5"/>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5"/>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5"/>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5"/>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5"/>
        <w:spacing w:line="360" w:lineRule="auto"/>
        <w:ind w:firstLine="360" w:firstLineChars="200"/>
        <w:rPr>
          <w:rFonts w:hAnsi="宋体"/>
          <w:bCs/>
          <w:sz w:val="18"/>
          <w:szCs w:val="18"/>
        </w:rPr>
      </w:pPr>
      <w:r>
        <w:rPr>
          <w:rFonts w:hAnsi="宋体"/>
          <w:bCs/>
          <w:sz w:val="18"/>
          <w:szCs w:val="18"/>
        </w:rPr>
        <w:t>5.未上市公司股权</w:t>
      </w:r>
    </w:p>
    <w:p>
      <w:pPr>
        <w:pStyle w:val="15"/>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5"/>
        <w:spacing w:line="360" w:lineRule="auto"/>
        <w:ind w:firstLine="360" w:firstLineChars="200"/>
        <w:rPr>
          <w:rFonts w:hAnsi="宋体"/>
          <w:bCs/>
          <w:sz w:val="18"/>
          <w:szCs w:val="18"/>
        </w:rPr>
      </w:pPr>
      <w:r>
        <w:rPr>
          <w:rFonts w:hAnsi="宋体"/>
          <w:bCs/>
          <w:sz w:val="18"/>
          <w:szCs w:val="18"/>
        </w:rPr>
        <w:t>6.优先股</w:t>
      </w:r>
    </w:p>
    <w:p>
      <w:pPr>
        <w:pStyle w:val="15"/>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5"/>
        <w:spacing w:line="360" w:lineRule="auto"/>
        <w:ind w:firstLine="360" w:firstLineChars="200"/>
        <w:rPr>
          <w:rFonts w:hAnsi="宋体"/>
          <w:bCs/>
          <w:sz w:val="18"/>
          <w:szCs w:val="18"/>
        </w:rPr>
      </w:pPr>
      <w:r>
        <w:rPr>
          <w:rFonts w:hAnsi="宋体"/>
          <w:bCs/>
          <w:sz w:val="18"/>
          <w:szCs w:val="18"/>
        </w:rPr>
        <w:t>7.证券投资基金估值</w:t>
      </w:r>
    </w:p>
    <w:p>
      <w:pPr>
        <w:pStyle w:val="15"/>
        <w:spacing w:line="360" w:lineRule="auto"/>
        <w:ind w:firstLine="360" w:firstLineChars="200"/>
        <w:rPr>
          <w:rFonts w:hAnsi="宋体"/>
          <w:sz w:val="18"/>
          <w:szCs w:val="18"/>
        </w:rPr>
      </w:pPr>
      <w:r>
        <w:rPr>
          <w:rFonts w:hint="eastAsia" w:hAnsi="宋体"/>
          <w:sz w:val="18"/>
          <w:szCs w:val="18"/>
        </w:rPr>
        <w:t>（1）非上市基金估值</w:t>
      </w:r>
    </w:p>
    <w:p>
      <w:pPr>
        <w:pStyle w:val="15"/>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5"/>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5"/>
        <w:spacing w:line="360" w:lineRule="auto"/>
        <w:ind w:firstLine="360" w:firstLineChars="200"/>
        <w:rPr>
          <w:rFonts w:hAnsi="宋体"/>
          <w:sz w:val="18"/>
          <w:szCs w:val="18"/>
        </w:rPr>
      </w:pPr>
      <w:r>
        <w:rPr>
          <w:rFonts w:hint="eastAsia" w:hAnsi="宋体"/>
          <w:sz w:val="18"/>
          <w:szCs w:val="18"/>
        </w:rPr>
        <w:t>（2）上市基金估值</w:t>
      </w:r>
    </w:p>
    <w:p>
      <w:pPr>
        <w:pStyle w:val="15"/>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5"/>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5"/>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5"/>
        <w:spacing w:line="360" w:lineRule="auto"/>
        <w:ind w:firstLine="360" w:firstLineChars="200"/>
        <w:rPr>
          <w:rFonts w:hAnsi="宋体"/>
          <w:bCs/>
          <w:sz w:val="18"/>
          <w:szCs w:val="18"/>
        </w:rPr>
      </w:pPr>
      <w:r>
        <w:rPr>
          <w:rFonts w:hAnsi="宋体"/>
          <w:bCs/>
          <w:sz w:val="18"/>
          <w:szCs w:val="18"/>
        </w:rPr>
        <w:t>8.其他资产管理产品的估值</w:t>
      </w:r>
    </w:p>
    <w:p>
      <w:pPr>
        <w:pStyle w:val="15"/>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5"/>
        <w:spacing w:line="360" w:lineRule="auto"/>
        <w:ind w:firstLine="360" w:firstLineChars="200"/>
        <w:rPr>
          <w:rFonts w:hAnsi="宋体"/>
          <w:bCs/>
          <w:sz w:val="18"/>
          <w:szCs w:val="18"/>
        </w:rPr>
      </w:pPr>
      <w:r>
        <w:rPr>
          <w:rFonts w:hAnsi="宋体"/>
          <w:bCs/>
          <w:sz w:val="18"/>
          <w:szCs w:val="18"/>
        </w:rPr>
        <w:t>9.衍生金融工具估值</w:t>
      </w:r>
    </w:p>
    <w:p>
      <w:pPr>
        <w:pStyle w:val="15"/>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5"/>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15"/>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5"/>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5"/>
        <w:spacing w:line="360" w:lineRule="auto"/>
        <w:ind w:firstLine="361" w:firstLineChars="200"/>
        <w:rPr>
          <w:rFonts w:hAnsi="宋体"/>
          <w:b/>
          <w:bCs/>
          <w:sz w:val="18"/>
          <w:szCs w:val="18"/>
        </w:rPr>
      </w:pPr>
      <w:r>
        <w:rPr>
          <w:rFonts w:hint="eastAsia" w:hAnsi="宋体"/>
          <w:b/>
          <w:bCs/>
          <w:sz w:val="18"/>
          <w:szCs w:val="18"/>
        </w:rPr>
        <w:t>（五）估值程序</w:t>
      </w:r>
    </w:p>
    <w:p>
      <w:pPr>
        <w:pStyle w:val="15"/>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5"/>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5"/>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5"/>
        <w:spacing w:line="360" w:lineRule="auto"/>
        <w:ind w:firstLine="361" w:firstLineChars="200"/>
        <w:rPr>
          <w:rFonts w:hAnsi="宋体"/>
          <w:b/>
          <w:bCs/>
          <w:sz w:val="18"/>
          <w:szCs w:val="18"/>
        </w:rPr>
      </w:pPr>
      <w:r>
        <w:rPr>
          <w:rFonts w:hint="eastAsia" w:hAnsi="宋体"/>
          <w:b/>
          <w:bCs/>
          <w:sz w:val="18"/>
          <w:szCs w:val="18"/>
        </w:rPr>
        <w:t>（六）估值主体</w:t>
      </w:r>
    </w:p>
    <w:p>
      <w:pPr>
        <w:pStyle w:val="15"/>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5"/>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79154671"/>
      <w:bookmarkStart w:id="132" w:name="_Toc123102454"/>
      <w:bookmarkStart w:id="133" w:name="_Toc123051453"/>
      <w:bookmarkStart w:id="134" w:name="_Toc141703887"/>
      <w:bookmarkStart w:id="135" w:name="_Toc26207"/>
      <w:bookmarkStart w:id="136" w:name="_Toc31235"/>
      <w:bookmarkStart w:id="137" w:name="_Toc3601"/>
      <w:bookmarkStart w:id="138" w:name="_Toc123112235"/>
      <w:bookmarkStart w:id="139" w:name="_Toc29251"/>
      <w:bookmarkStart w:id="140" w:name="_Toc15143"/>
      <w:bookmarkStart w:id="141" w:name="_Toc14835"/>
      <w:bookmarkStart w:id="142" w:name="_Toc31653"/>
      <w:bookmarkStart w:id="143" w:name="_Toc116649656"/>
      <w:bookmarkStart w:id="144" w:name="_Toc74065744"/>
      <w:bookmarkStart w:id="145" w:name="_Toc6405"/>
      <w:bookmarkStart w:id="146" w:name="_Toc98560353"/>
      <w:bookmarkStart w:id="147" w:name="_Toc139991737"/>
      <w:bookmarkStart w:id="148" w:name="_Toc31644"/>
      <w:bookmarkStart w:id="149"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57530239"/>
      <w:bookmarkStart w:id="153" w:name="_Toc523711668"/>
      <w:bookmarkStart w:id="154" w:name="_Toc15118234"/>
    </w:p>
    <w:p>
      <w:pPr>
        <w:pStyle w:val="15"/>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5"/>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5"/>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5"/>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5"/>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5"/>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5"/>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5"/>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5"/>
        <w:spacing w:line="360" w:lineRule="auto"/>
        <w:ind w:firstLine="360" w:firstLineChars="200"/>
        <w:rPr>
          <w:rFonts w:hAnsi="宋体"/>
          <w:bCs/>
          <w:color w:val="auto"/>
          <w:sz w:val="18"/>
          <w:szCs w:val="18"/>
        </w:rPr>
      </w:pPr>
      <w:r>
        <w:rPr>
          <w:rFonts w:hAnsi="宋体"/>
          <w:bCs/>
          <w:color w:val="auto"/>
          <w:sz w:val="18"/>
          <w:szCs w:val="18"/>
        </w:rPr>
        <w:t>1.分配方案要点：</w:t>
      </w:r>
    </w:p>
    <w:p>
      <w:pPr>
        <w:pStyle w:val="15"/>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5"/>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5"/>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5"/>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5"/>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5"/>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w:t>
      </w:r>
      <w:r>
        <w:rPr>
          <w:rFonts w:hAnsi="宋体"/>
          <w:color w:val="auto"/>
          <w:sz w:val="18"/>
          <w:szCs w:val="18"/>
        </w:rPr>
        <w:t>7</w:t>
      </w:r>
      <w:r>
        <w:rPr>
          <w:rFonts w:hint="eastAsia" w:hAnsi="宋体"/>
          <w:color w:val="auto"/>
          <w:sz w:val="18"/>
          <w:szCs w:val="18"/>
        </w:rPr>
        <w:t>】个工作日内分配理财利益（如有）。</w:t>
      </w:r>
    </w:p>
    <w:p>
      <w:pPr>
        <w:pStyle w:val="15"/>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5"/>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25574"/>
      <w:bookmarkEnd w:id="155"/>
      <w:bookmarkStart w:id="156" w:name="_Hlt88897298"/>
      <w:bookmarkEnd w:id="156"/>
      <w:bookmarkStart w:id="157" w:name="_Toc7058"/>
      <w:bookmarkStart w:id="158" w:name="_Toc4559"/>
      <w:bookmarkStart w:id="159" w:name="_Toc123112236"/>
      <w:bookmarkStart w:id="160" w:name="_Toc123051454"/>
      <w:bookmarkStart w:id="161" w:name="_Toc9706"/>
      <w:bookmarkStart w:id="162" w:name="_Toc18567"/>
      <w:bookmarkStart w:id="163" w:name="_Toc74065745"/>
      <w:bookmarkStart w:id="164" w:name="_Toc11030"/>
      <w:bookmarkStart w:id="165" w:name="_Toc3771"/>
      <w:bookmarkStart w:id="166" w:name="_Toc3321"/>
      <w:bookmarkStart w:id="167" w:name="_Toc98560354"/>
      <w:bookmarkStart w:id="168" w:name="_Toc79392583"/>
      <w:bookmarkStart w:id="169" w:name="_Toc6447"/>
      <w:bookmarkStart w:id="170" w:name="_Toc79154672"/>
      <w:bookmarkStart w:id="171" w:name="_Toc10650"/>
      <w:bookmarkStart w:id="172" w:name="_Toc123102455"/>
      <w:bookmarkStart w:id="173" w:name="_Toc141703888"/>
      <w:bookmarkStart w:id="174" w:name="_Toc139991738"/>
      <w:bookmarkStart w:id="175" w:name="_Toc116649657"/>
      <w:bookmarkStart w:id="176" w:name="_Toc25783"/>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5"/>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w:t>
      </w:r>
      <w:r>
        <w:rPr>
          <w:rFonts w:hint="eastAsia" w:asciiTheme="majorEastAsia" w:hAnsiTheme="majorEastAsia" w:eastAsiaTheme="majorEastAsia"/>
          <w:sz w:val="18"/>
          <w:szCs w:val="18"/>
          <w:highlight w:val="yellow"/>
        </w:rPr>
        <w:t>360</w:t>
      </w:r>
      <w:r>
        <w:rPr>
          <w:rFonts w:hint="eastAsia" w:asciiTheme="majorEastAsia" w:hAnsiTheme="majorEastAsia" w:eastAsiaTheme="majorEastAsia"/>
          <w:sz w:val="18"/>
          <w:szCs w:val="18"/>
        </w:rPr>
        <w:t>。</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360</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5"/>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5"/>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5"/>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18206"/>
      <w:bookmarkStart w:id="180" w:name="_Toc116649658"/>
      <w:bookmarkStart w:id="181" w:name="_Toc3572"/>
      <w:bookmarkStart w:id="182" w:name="_Toc123102456"/>
      <w:bookmarkStart w:id="183" w:name="_Toc74065746"/>
      <w:bookmarkStart w:id="184" w:name="_Toc31821"/>
      <w:bookmarkStart w:id="185" w:name="_Toc141703889"/>
      <w:bookmarkStart w:id="186" w:name="_Toc79154673"/>
      <w:bookmarkStart w:id="187" w:name="_Toc139991739"/>
      <w:bookmarkStart w:id="188" w:name="_Toc725"/>
      <w:bookmarkStart w:id="189" w:name="_Toc3080"/>
      <w:bookmarkStart w:id="190" w:name="_Toc10398"/>
      <w:bookmarkStart w:id="191" w:name="_Toc123051455"/>
      <w:bookmarkStart w:id="192" w:name="_Toc16164"/>
      <w:bookmarkStart w:id="193" w:name="_Toc21735"/>
      <w:bookmarkStart w:id="194" w:name="_Toc123112237"/>
      <w:bookmarkStart w:id="195" w:name="_Toc98560355"/>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79392593"/>
      <w:bookmarkStart w:id="197" w:name="_Toc15118245"/>
      <w:bookmarkStart w:id="198"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bookmarkEnd w:id="196"/>
    <w:bookmarkEnd w:id="197"/>
    <w:bookmarkEnd w:id="198"/>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5】个工作日，清算期超过【5】个工作日的，将依约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部分终止的比例：理财产品将按比例（已变现资产/理财产品净资产）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部分终止的利益分配：产品管理人将依照销售文件公布部分终止日并指定利益分配日（一般为部分终止日之后的【5】个工作日以内）。产品管理人应将理财利益于指定的利益分配日（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理财产品部分终止日（含当日）至理财利益实际到账日之间，理财资金不计算收益。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3.理财产品到期日产品管理人按照《产品说明书》“第十条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p>
      <w:pPr>
        <w:pStyle w:val="2"/>
        <w:spacing w:before="0" w:after="0" w:line="360" w:lineRule="auto"/>
        <w:jc w:val="center"/>
        <w:rPr>
          <w:rFonts w:ascii="Times New Roman"/>
          <w:sz w:val="30"/>
        </w:rPr>
      </w:pPr>
      <w:r>
        <w:rPr>
          <w:rFonts w:ascii="Times New Roman"/>
          <w:b w:val="0"/>
          <w:bCs w:val="0"/>
          <w:kern w:val="2"/>
        </w:rPr>
        <w:br w:type="page"/>
      </w:r>
      <w:bookmarkStart w:id="199" w:name="_Toc141703890"/>
      <w:bookmarkStart w:id="200" w:name="_Toc123112238"/>
      <w:bookmarkStart w:id="201" w:name="_Toc79154674"/>
      <w:bookmarkStart w:id="202" w:name="_Toc17920"/>
      <w:bookmarkStart w:id="203" w:name="_Toc98560356"/>
      <w:bookmarkStart w:id="204" w:name="_Toc32584"/>
      <w:bookmarkStart w:id="205" w:name="_Toc32092"/>
      <w:bookmarkStart w:id="206" w:name="_Toc123102457"/>
      <w:bookmarkStart w:id="207" w:name="_Toc21237"/>
      <w:bookmarkStart w:id="208" w:name="_Toc79392622"/>
      <w:bookmarkStart w:id="209" w:name="_Toc5170"/>
      <w:bookmarkStart w:id="210" w:name="_Toc3329"/>
      <w:bookmarkStart w:id="211" w:name="_Toc116649659"/>
      <w:bookmarkStart w:id="212" w:name="_Toc48649708"/>
      <w:bookmarkStart w:id="213" w:name="_Toc139991740"/>
      <w:bookmarkStart w:id="214" w:name="_Toc29408"/>
      <w:bookmarkStart w:id="215" w:name="_Toc739"/>
      <w:bookmarkStart w:id="216" w:name="_Toc8791"/>
      <w:bookmarkStart w:id="217" w:name="_Toc17198"/>
      <w:bookmarkStart w:id="218" w:name="_Toc123051456"/>
      <w:bookmarkStart w:id="219" w:name="_Toc74065747"/>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79154675"/>
      <w:bookmarkStart w:id="221" w:name="_Toc116649660"/>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spacing w:line="360" w:lineRule="auto"/>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3"/>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8"/>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w:t>
            </w:r>
            <w:r>
              <w:rPr>
                <w:sz w:val="18"/>
                <w:szCs w:val="18"/>
              </w:rPr>
              <w:t>签名</w:t>
            </w:r>
            <w:r>
              <w:rPr>
                <w:rFonts w:hint="eastAsia" w:cs="Arial"/>
                <w:sz w:val="18"/>
                <w:szCs w:val="18"/>
              </w:rPr>
              <w:t>/盖章</w:t>
            </w:r>
            <w:r>
              <w:rPr>
                <w:rFonts w:hint="eastAsia"/>
                <w:sz w:val="18"/>
                <w:szCs w:val="18"/>
              </w:rPr>
              <w:t>/线上确认</w:t>
            </w:r>
            <w:r>
              <w:rPr>
                <w:rFonts w:hint="eastAsia" w:cs="Arial"/>
                <w:sz w:val="18"/>
                <w:szCs w:val="18"/>
              </w:rPr>
              <w:t>）：</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15"/>
        <w:spacing w:line="360" w:lineRule="auto"/>
        <w:rPr>
          <w:rFonts w:hAnsi="宋体"/>
          <w:sz w:val="18"/>
          <w:szCs w:val="18"/>
        </w:rPr>
      </w:pPr>
    </w:p>
    <w:p/>
    <w:p>
      <w:pPr>
        <w:sectPr>
          <w:headerReference r:id="rId7" w:type="default"/>
          <w:footerReference r:id="rId8" w:type="default"/>
          <w:pgSz w:w="11906" w:h="16838"/>
          <w:pgMar w:top="1276" w:right="1800" w:bottom="1418" w:left="1800" w:header="567" w:footer="850" w:gutter="0"/>
          <w:pgNumType w:fmt="decimal"/>
          <w:cols w:space="425" w:num="1"/>
          <w:docGrid w:type="lines" w:linePitch="312" w:charSpace="0"/>
        </w:sectPr>
      </w:pPr>
    </w:p>
    <w:p>
      <w:pPr>
        <w:widowControl/>
        <w:spacing w:before="156"/>
        <w:jc w:val="center"/>
        <w:rPr>
          <w:rFonts w:ascii="黑体" w:hAnsi="黑体" w:eastAsia="黑体"/>
          <w:b/>
          <w:sz w:val="28"/>
          <w:szCs w:val="28"/>
        </w:rPr>
      </w:pPr>
      <w:r>
        <w:rPr>
          <w:rFonts w:hint="eastAsia" w:ascii="黑体" w:hAnsi="黑体" w:eastAsia="黑体"/>
          <w:b/>
          <w:sz w:val="28"/>
          <w:szCs w:val="28"/>
        </w:rPr>
        <w:t>兴银理财</w:t>
      </w:r>
      <w:r>
        <w:rPr>
          <w:rStyle w:val="10"/>
          <w:rFonts w:hint="eastAsia" w:ascii="黑体" w:hAnsi="黑体" w:eastAsia="黑体"/>
          <w:sz w:val="28"/>
          <w:szCs w:val="28"/>
        </w:rPr>
        <w:t>汇利稳健封闭式固收类</w:t>
      </w:r>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hint="eastAsia" w:ascii="宋体" w:hAnsi="宋体" w:eastAsia="宋体"/>
                <w:bCs/>
                <w:sz w:val="18"/>
                <w:szCs w:val="18"/>
                <w:lang w:eastAsia="zh-CN"/>
              </w:rPr>
            </w:pP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5"/>
              <w:jc w:val="both"/>
              <w:rPr>
                <w:rFonts w:hint="eastAsia" w:eastAsia="宋体"/>
                <w:lang w:eastAsia="zh-CN"/>
              </w:rPr>
            </w:pPr>
            <w:r>
              <w:rPr>
                <w:rFonts w:hint="eastAsia" w:asciiTheme="majorEastAsia" w:hAnsiTheme="majorEastAsia" w:eastAsiaTheme="maj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将理财产品分为【】个风险等级</w:t>
      </w:r>
      <w:r>
        <w:rPr>
          <w:rFonts w:ascii="宋体" w:hAnsi="宋体" w:cs="仿宋_GB2312"/>
          <w:kern w:val="0"/>
          <w:sz w:val="18"/>
          <w:szCs w:val="18"/>
        </w:rPr>
        <w:t>：</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甲方法定代表人或授权代理人（签名/盖章/线上确认）：</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Pr>
        <w:sectPr>
          <w:headerReference r:id="rId9" w:type="default"/>
          <w:footerReference r:id="rId10" w:type="default"/>
          <w:pgSz w:w="11906" w:h="16838"/>
          <w:pgMar w:top="1440" w:right="1800" w:bottom="1440" w:left="1800" w:header="567" w:footer="964" w:gutter="0"/>
          <w:pgNumType w:fmt="decimal"/>
          <w:cols w:space="425" w:num="1"/>
          <w:docGrid w:type="lines" w:linePitch="312" w:charSpace="0"/>
        </w:sectPr>
      </w:pP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r>
        <w:rPr>
          <w:rStyle w:val="10"/>
          <w:rFonts w:hint="eastAsia" w:ascii="黑体" w:hAnsi="黑体" w:eastAsia="黑体"/>
          <w:sz w:val="28"/>
          <w:szCs w:val="28"/>
        </w:rPr>
        <w:t>汇利稳健封闭式固收类</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bCs/>
          <w:sz w:val="18"/>
          <w:szCs w:val="18"/>
        </w:rPr>
        <w:t>【兴银理财汇利稳健六个月封闭式1</w:t>
      </w:r>
      <w:r>
        <w:rPr>
          <w:rFonts w:hint="eastAsia" w:ascii="宋体" w:hAnsi="宋体"/>
          <w:bCs/>
          <w:sz w:val="18"/>
          <w:szCs w:val="18"/>
          <w:lang w:val="en-US" w:eastAsia="zh-CN"/>
        </w:rPr>
        <w:t>38</w:t>
      </w:r>
      <w:r>
        <w:rPr>
          <w:rFonts w:hint="eastAsia" w:ascii="宋体" w:hAnsi="宋体"/>
          <w:bCs/>
          <w:sz w:val="18"/>
          <w:szCs w:val="18"/>
        </w:rPr>
        <w:t>期固收类理财产品】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【汇利稳健六个月封闭式138期A（纯享款）】（适用【A】类份额）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【汇利稳健六个月封闭式138期现汇B（纯享款）】（适用【B】类份额）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【汇利稳健六个月封闭式138期现钞C（纯享款）】（适用【C】类份额）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【汇利稳健六个月封闭式138期现汇D（纯享款）】（适用【D】类份额）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【汇利稳健六个月封闭式138期现汇E（纯享款）】（适用【E】类份额）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【汇利稳健六个月封闭式138期现汇F（纯享款）】（适用【F】类份额）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【汇利稳健六个月封闭式138期现汇G（纯享款）】（适用【G】类份额）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r>
        <w:rPr>
          <w:rFonts w:hint="eastAsia" w:ascii="宋体" w:hAnsi="宋体"/>
          <w:bCs/>
          <w:sz w:val="18"/>
          <w:szCs w:val="18"/>
        </w:rPr>
        <w:t>【</w:t>
      </w:r>
      <w:r>
        <w:rPr>
          <w:rFonts w:hint="eastAsia" w:ascii="宋体" w:hAnsi="宋体"/>
          <w:bCs/>
          <w:sz w:val="18"/>
          <w:szCs w:val="18"/>
          <w:lang w:val="en-US" w:eastAsia="zh-CN"/>
        </w:rPr>
        <w:t>Z7002024003260</w:t>
      </w:r>
      <w:r>
        <w:rPr>
          <w:rFonts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ascii="宋体" w:hAnsi="宋体" w:cs="仿宋_GB2312"/>
          <w:kern w:val="0"/>
          <w:sz w:val="18"/>
          <w:szCs w:val="18"/>
        </w:rPr>
        <w:t>1</w:t>
      </w:r>
      <w:r>
        <w:rPr>
          <w:rFonts w:hint="eastAsia" w:ascii="宋体" w:hAnsi="宋体" w:cs="仿宋_GB2312"/>
          <w:kern w:val="0"/>
          <w:sz w:val="18"/>
          <w:szCs w:val="18"/>
          <w:lang w:val="en-US" w:eastAsia="zh-CN"/>
        </w:rPr>
        <w:t>82</w:t>
      </w:r>
      <w:r>
        <w:rPr>
          <w:rFonts w:hint="eastAsia" w:ascii="宋体" w:hAnsi="宋体" w:cs="仿宋_GB2312"/>
          <w:kern w:val="0"/>
          <w:sz w:val="18"/>
          <w:szCs w:val="18"/>
        </w:rPr>
        <w:t>】天</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ind w:firstLine="361" w:firstLineChars="20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公募基金、资产管理计划、信托计划等资产投资风险</w:t>
      </w:r>
    </w:p>
    <w:p>
      <w:pPr>
        <w:ind w:firstLine="360" w:firstLineChars="20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若本产品投资公募基金、资产管理计划、信托计划等时，可能因为公募基金、资产管理计划、信托计划等的管理人或受托人违法违规、未尽管理人或受托人职责或发生其他情形，或公募基金、资产管理计划、信托计划等出现因为特定原因而被提前终止的情况，可能造成本产品所投资的公募基金、资产管理计划、信托计划等的财产损失，从而影响投资者收益，甚至使本产品遭受损失。</w:t>
      </w:r>
    </w:p>
    <w:p>
      <w:pPr>
        <w:pStyle w:val="13"/>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3"/>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3"/>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3"/>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3"/>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3"/>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3"/>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3"/>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3"/>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3"/>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3"/>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3"/>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3"/>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3"/>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3"/>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3"/>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3"/>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3"/>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3"/>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3"/>
        <w:ind w:firstLineChars="0"/>
        <w:rPr>
          <w:rFonts w:ascii="宋体" w:hAnsi="宋体"/>
          <w:b/>
          <w:bCs/>
          <w:sz w:val="18"/>
          <w:szCs w:val="18"/>
        </w:rPr>
      </w:pPr>
      <w:r>
        <w:rPr>
          <w:rFonts w:hint="eastAsia" w:ascii="宋体" w:hAnsi="宋体"/>
          <w:b/>
          <w:bCs/>
          <w:sz w:val="18"/>
          <w:szCs w:val="18"/>
        </w:rPr>
        <w:t>17.关联交易风险</w:t>
      </w:r>
    </w:p>
    <w:p>
      <w:pPr>
        <w:pStyle w:val="13"/>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jc w:val="right"/>
        <w:rPr>
          <w:rFonts w:hint="eastAsia" w:ascii="宋体" w:hAnsi="宋体" w:eastAsia="宋体"/>
          <w:sz w:val="18"/>
          <w:szCs w:val="18"/>
          <w:lang w:eastAsia="zh-CN"/>
        </w:rPr>
      </w:pPr>
      <w:r>
        <w:rPr>
          <w:rFonts w:hint="eastAsia" w:ascii="宋体" w:hAnsi="宋体"/>
          <w:sz w:val="18"/>
          <w:szCs w:val="18"/>
          <w:lang w:eastAsia="zh-CN"/>
        </w:rPr>
        <w:t xml:space="preserve">销售机构（【】） </w:t>
      </w:r>
      <w:r>
        <w:rPr>
          <w:rFonts w:ascii="宋体" w:hAnsi="宋体"/>
          <w:sz w:val="18"/>
          <w:szCs w:val="18"/>
        </w:rPr>
        <w:br w:type="page"/>
      </w:r>
    </w:p>
    <w:p>
      <w:pPr>
        <w:widowControl/>
        <w:jc w:val="right"/>
        <w:rPr>
          <w:rFonts w:ascii="宋体" w:hAnsi="宋体"/>
          <w:sz w:val="18"/>
          <w:szCs w:val="18"/>
        </w:rPr>
      </w:pP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
      <w:pPr>
        <w:sectPr>
          <w:headerReference r:id="rId11" w:type="default"/>
          <w:footerReference r:id="rId12" w:type="default"/>
          <w:pgSz w:w="11906" w:h="16838"/>
          <w:pgMar w:top="1440" w:right="1800" w:bottom="1440" w:left="1800" w:header="567" w:footer="964" w:gutter="0"/>
          <w:pgNumType w:fmt="decimal"/>
          <w:cols w:space="425" w:num="1"/>
          <w:docGrid w:type="lines" w:linePitch="312" w:charSpace="0"/>
        </w:sectPr>
      </w:pPr>
    </w:p>
    <w:p>
      <w:pPr>
        <w:adjustRightInd w:val="0"/>
        <w:spacing w:line="276" w:lineRule="auto"/>
        <w:jc w:val="center"/>
        <w:outlineLvl w:val="0"/>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76" w:lineRule="auto"/>
        <w:jc w:val="center"/>
        <w:outlineLvl w:val="0"/>
        <w:rPr>
          <w:rStyle w:val="10"/>
          <w:rFonts w:ascii="黑体" w:hAnsi="黑体" w:eastAsia="黑体"/>
          <w:sz w:val="28"/>
          <w:szCs w:val="28"/>
        </w:rPr>
      </w:pPr>
      <w:r>
        <w:rPr>
          <w:rStyle w:val="10"/>
          <w:rFonts w:hint="eastAsia" w:ascii="黑体" w:hAnsi="黑体" w:eastAsia="黑体"/>
          <w:sz w:val="28"/>
          <w:szCs w:val="28"/>
        </w:rPr>
        <w:t>投资者权益须知</w:t>
      </w:r>
    </w:p>
    <w:p>
      <w:pPr>
        <w:pStyle w:val="15"/>
        <w:jc w:val="center"/>
        <w:outlineLvl w:val="0"/>
        <w:rPr>
          <w:rFonts w:hAnsi="宋体"/>
          <w:b/>
          <w:color w:val="auto"/>
          <w:sz w:val="28"/>
          <w:szCs w:val="28"/>
        </w:rPr>
      </w:pPr>
      <w:r>
        <w:rPr>
          <w:rFonts w:hint="eastAsia" w:hAnsi="宋体"/>
          <w:b/>
          <w:color w:val="auto"/>
          <w:sz w:val="28"/>
          <w:szCs w:val="28"/>
        </w:rPr>
        <w:t>（适用于个人投资者）</w:t>
      </w:r>
    </w:p>
    <w:p>
      <w:pPr>
        <w:outlineLvl w:val="1"/>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hint="eastAsia" w:ascii="宋体" w:hAnsi="宋体"/>
          <w:sz w:val="18"/>
          <w:szCs w:val="18"/>
          <w:lang w:eastAsia="zh-CN"/>
        </w:rPr>
      </w:pPr>
      <w:r>
        <w:rPr>
          <w:rFonts w:hint="eastAsia" w:ascii="宋体" w:hAnsi="宋体"/>
          <w:sz w:val="18"/>
          <w:szCs w:val="18"/>
          <w:lang w:eastAsia="zh-CN"/>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outlineLvl w:val="1"/>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outlineLvl w:val="1"/>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投资者风险承受能力，个人投资者由低至高分为【C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6</w:t>
      </w:r>
      <w:r>
        <w:rPr>
          <w:rFonts w:hint="eastAsia" w:ascii="宋体" w:hAnsi="宋体"/>
          <w:sz w:val="18"/>
          <w:szCs w:val="18"/>
        </w:rPr>
        <w:t>六个等级】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6</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7"/>
        <w:gridCol w:w="486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 w:hRule="atLeast"/>
          <w:jc w:val="center"/>
        </w:trPr>
        <w:tc>
          <w:tcPr>
            <w:tcW w:w="757" w:type="dxa"/>
            <w:tcBorders>
              <w:top w:val="single" w:color="auto" w:sz="12" w:space="0"/>
              <w:left w:val="single" w:color="auto" w:sz="12" w:space="0"/>
              <w:right w:val="single" w:color="auto" w:sz="4"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60" w:type="dxa"/>
            <w:tcBorders>
              <w:top w:val="single" w:color="auto" w:sz="12" w:space="0"/>
              <w:left w:val="single" w:color="auto" w:sz="4"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5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激进型（R6）</w:t>
            </w:r>
          </w:p>
        </w:tc>
        <w:tc>
          <w:tcPr>
            <w:tcW w:w="486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极大，收益浮动且波动极大。产品结构复杂，过往业绩及净值的历史波动率很高；或者投资标的流动性很差或为极低等级的信用主体，期限很长；或者投资衍生品以追求收益为目的，衍生品及杠杆交易对净值波动极大；估值政策非常复杂。投资者需要非常谨慎的产品选择、十分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 xml:space="preserve">激进型（C6） </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outlineLvl w:val="1"/>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outlineLvl w:val="1"/>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outlineLvl w:val="2"/>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outlineLvl w:val="2"/>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outlineLvl w:val="0"/>
        <w:rPr>
          <w:rStyle w:val="10"/>
          <w:rFonts w:ascii="黑体" w:hAnsi="黑体" w:eastAsia="黑体"/>
          <w:sz w:val="28"/>
          <w:szCs w:val="28"/>
        </w:rPr>
      </w:pPr>
      <w:r>
        <w:rPr>
          <w:rStyle w:val="10"/>
          <w:rFonts w:hint="eastAsia" w:ascii="黑体" w:hAnsi="黑体" w:eastAsia="黑体"/>
          <w:sz w:val="28"/>
          <w:szCs w:val="28"/>
        </w:rPr>
        <w:t>兴银理财汇利稳健封闭式固收类理财产品</w:t>
      </w:r>
    </w:p>
    <w:p>
      <w:pPr>
        <w:adjustRightInd w:val="0"/>
        <w:spacing w:line="280" w:lineRule="atLeast"/>
        <w:jc w:val="center"/>
        <w:outlineLvl w:val="0"/>
        <w:rPr>
          <w:rStyle w:val="10"/>
          <w:rFonts w:ascii="黑体" w:hAnsi="黑体" w:eastAsia="黑体"/>
          <w:sz w:val="28"/>
          <w:szCs w:val="28"/>
        </w:rPr>
      </w:pPr>
      <w:r>
        <w:rPr>
          <w:rStyle w:val="10"/>
          <w:rFonts w:hint="eastAsia" w:ascii="黑体" w:hAnsi="黑体" w:eastAsia="黑体"/>
          <w:sz w:val="28"/>
          <w:szCs w:val="28"/>
        </w:rPr>
        <w:t>投资者权益须知</w:t>
      </w:r>
    </w:p>
    <w:p>
      <w:pPr>
        <w:pStyle w:val="15"/>
        <w:spacing w:line="280" w:lineRule="atLeast"/>
        <w:jc w:val="center"/>
        <w:outlineLvl w:val="0"/>
        <w:rPr>
          <w:rFonts w:hAnsi="宋体"/>
          <w:b/>
          <w:color w:val="auto"/>
          <w:sz w:val="28"/>
          <w:szCs w:val="28"/>
        </w:rPr>
      </w:pPr>
      <w:r>
        <w:rPr>
          <w:rFonts w:hint="eastAsia" w:hAnsi="宋体"/>
          <w:b/>
          <w:color w:val="auto"/>
          <w:sz w:val="28"/>
          <w:szCs w:val="28"/>
        </w:rPr>
        <w:t>（适用于机构投资者）</w:t>
      </w:r>
    </w:p>
    <w:p>
      <w:pPr>
        <w:spacing w:line="280" w:lineRule="atLeast"/>
        <w:outlineLvl w:val="1"/>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hint="eastAsia" w:ascii="宋体" w:hAnsi="宋体"/>
          <w:sz w:val="18"/>
          <w:szCs w:val="18"/>
          <w:lang w:eastAsia="zh-CN"/>
        </w:rPr>
      </w:pPr>
      <w:r>
        <w:rPr>
          <w:rFonts w:hint="eastAsia" w:ascii="宋体" w:hAnsi="宋体"/>
          <w:sz w:val="18"/>
          <w:szCs w:val="18"/>
          <w:lang w:eastAsia="zh-CN"/>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outlineLvl w:val="1"/>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outlineLvl w:val="1"/>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投资者风险承受能力，机构投资者由低至高分为【C</w:t>
      </w:r>
      <w:r>
        <w:rPr>
          <w:rFonts w:ascii="宋体" w:hAnsi="宋体"/>
          <w:sz w:val="18"/>
          <w:szCs w:val="18"/>
        </w:rPr>
        <w:t>1</w:t>
      </w:r>
      <w:r>
        <w:rPr>
          <w:rFonts w:hint="eastAsia" w:ascii="宋体" w:hAnsi="宋体"/>
          <w:sz w:val="18"/>
          <w:szCs w:val="18"/>
        </w:rPr>
        <w:t>-C</w:t>
      </w:r>
      <w:r>
        <w:rPr>
          <w:rFonts w:ascii="宋体" w:hAnsi="宋体"/>
          <w:sz w:val="18"/>
          <w:szCs w:val="18"/>
        </w:rPr>
        <w:t>5</w:t>
      </w:r>
      <w:r>
        <w:rPr>
          <w:rFonts w:hint="eastAsia" w:ascii="宋体" w:hAnsi="宋体"/>
          <w:sz w:val="18"/>
          <w:szCs w:val="18"/>
        </w:rPr>
        <w:t>五个等级】</w:t>
      </w:r>
      <w:r>
        <w:rPr>
          <w:rFonts w:ascii="宋体" w:hAnsi="宋体"/>
          <w:sz w:val="18"/>
          <w:szCs w:val="18"/>
        </w:rPr>
        <w:t>。其中，</w:t>
      </w:r>
      <w:r>
        <w:rPr>
          <w:rFonts w:hint="eastAsia" w:ascii="宋体" w:hAnsi="宋体"/>
          <w:sz w:val="18"/>
          <w:szCs w:val="18"/>
        </w:rPr>
        <w:t>【C</w:t>
      </w:r>
      <w:r>
        <w:rPr>
          <w:rFonts w:ascii="宋体" w:hAnsi="宋体"/>
          <w:sz w:val="18"/>
          <w:szCs w:val="18"/>
        </w:rPr>
        <w:t>1</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【C</w:t>
      </w:r>
      <w:r>
        <w:rPr>
          <w:rFonts w:ascii="宋体" w:hAnsi="宋体"/>
          <w:sz w:val="18"/>
          <w:szCs w:val="18"/>
        </w:rPr>
        <w:t>5</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安逸型（R1）</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本金风险低，产品投资目标不能实现的概率较低；或投资范围仅限于货币市场工具等风险极低的短期金融资产。</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安逸型（C1）及以上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谨慎型（R2）</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本金风险相对较小，收益浮动但相对较小。产品结构简单，过往业绩及净值的历史波动率低；投资标的流动性很好或为较高等级的信用主体；或者衍生品及杠杆交易对净值波动极小；估值政策清晰。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谨慎型（C2）及以上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稳健型（R3）</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有一定的本金风险，收益浮动且有一定波动。产品结构简单，过往业绩及净值的历史波动率较低；投资标的流动性好或为中等及以上的信用主体；或者投资衍生品以套期保值为目的，衍生品及杠杆交易对净值波动较小；估值政策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稳健型（C3）及以上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增长型（R4）</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较大。产品主要投资于流动性较好的投资标的，产品结构简单，但收益浮动且波动很大，过往业绩及净值的历史波动率较高；或者投资标的流动性较差或为中等以下的信用主体，但产品结构简单，且不投资于衍生品及杠杆交易；估值政策简单；或者投资衍生品以套期保值为目的，衍生品及杠杆交易对净值波动较大，估值政策较清晰。</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增长型（C4）及以上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rPr>
                <w:rFonts w:ascii="宋体" w:hAnsi="宋体"/>
                <w:sz w:val="18"/>
                <w:szCs w:val="18"/>
              </w:rPr>
            </w:pPr>
            <w:r>
              <w:rPr>
                <w:rFonts w:hint="eastAsia" w:ascii="宋体" w:hAnsi="宋体"/>
                <w:color w:val="000000" w:themeColor="text1"/>
                <w:sz w:val="18"/>
                <w:szCs w:val="18"/>
                <w14:textFill>
                  <w14:solidFill>
                    <w14:schemeClr w14:val="tx1"/>
                  </w14:solidFill>
                </w14:textFill>
              </w:rPr>
              <w:t>进取型（R5）</w:t>
            </w: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产品本金风险很大，收益浮动且波动很大。产品结构较复杂，过往业绩及净值的历史波动率高；或者投资标的流动性较差或为低等级的信用主体，期限较长；或者投资衍生品以追求收益为目的，衍生品及杠杆交易对净值波动很大；估值政策较复杂。投资者要作出谨慎的产品选择，积极的关注相关风险。</w:t>
            </w: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r>
              <w:rPr>
                <w:rFonts w:hint="eastAsia" w:ascii="宋体" w:hAnsi="宋体"/>
                <w:color w:val="000000" w:themeColor="text1"/>
                <w:sz w:val="18"/>
                <w:szCs w:val="18"/>
                <w14:textFill>
                  <w14:solidFill>
                    <w14:schemeClr w14:val="tx1"/>
                  </w14:solidFill>
                </w14:textFill>
              </w:rPr>
              <w:t>进取型（C5）及以上</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outlineLvl w:val="1"/>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outlineLvl w:val="1"/>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outlineLvl w:val="2"/>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outlineLvl w:val="2"/>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outlineLvl w:val="2"/>
        <w:rPr>
          <w:rFonts w:ascii="宋体" w:hAnsi="宋体"/>
          <w:sz w:val="18"/>
          <w:szCs w:val="18"/>
        </w:rPr>
      </w:pPr>
    </w:p>
    <w:p>
      <w:pPr>
        <w:autoSpaceDE w:val="0"/>
        <w:autoSpaceDN w:val="0"/>
        <w:adjustRightInd w:val="0"/>
        <w:spacing w:line="280" w:lineRule="atLeast"/>
        <w:jc w:val="left"/>
        <w:rPr>
          <w:rFonts w:ascii="仿宋_GB2312" w:eastAsia="仿宋_GB2312" w:cs="仿宋_GB2312"/>
          <w:color w:val="000000"/>
          <w:kern w:val="0"/>
          <w:sz w:val="24"/>
          <w:szCs w:val="24"/>
        </w:rPr>
      </w:pPr>
    </w:p>
    <w:p>
      <w:pPr>
        <w:spacing w:line="280" w:lineRule="atLeast"/>
        <w:ind w:right="84" w:rightChars="40"/>
        <w:jc w:val="right"/>
        <w:rPr>
          <w:rFonts w:ascii="宋体" w:hAnsi="宋体"/>
          <w:sz w:val="18"/>
          <w:szCs w:val="18"/>
        </w:rPr>
      </w:pPr>
    </w:p>
    <w:p>
      <w:pPr>
        <w:widowControl/>
        <w:spacing w:line="280" w:lineRule="atLeast"/>
        <w:jc w:val="left"/>
        <w:rPr>
          <w:rFonts w:ascii="宋体" w:hAnsi="宋体"/>
          <w:b/>
          <w:sz w:val="28"/>
          <w:szCs w:val="28"/>
        </w:rPr>
      </w:pPr>
    </w:p>
    <w:p/>
    <w:p/>
    <w:sectPr>
      <w:headerReference r:id="rId13" w:type="default"/>
      <w:footerReference r:id="rId14" w:type="default"/>
      <w:pgSz w:w="11906" w:h="16838"/>
      <w:pgMar w:top="1440" w:right="1800" w:bottom="1440" w:left="1800" w:header="567"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
    <w:sdtPr>
      <w:id w:val="-408925579"/>
      <w:showingPlcHdr/>
    </w:sdtPr>
    <w:sdtContent>
      <w:p>
        <w:pPr>
          <w:pStyle w:val="3"/>
          <w:jc w:val="center"/>
          <w:rPr>
            <w:rFonts w:ascii="黑体" w:hAnsi="黑体" w:eastAsia="黑体"/>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rPr>
        <w:kern w:val="0"/>
        <w:szCs w:val="21"/>
      </w:rPr>
    </w:pPr>
    <w:r>
      <w:rPr>
        <w:rStyle w:val="11"/>
        <w:kern w:val="0"/>
        <w:szCs w:val="21"/>
      </w:rPr>
      <w:fldChar w:fldCharType="begin"/>
    </w:r>
    <w:r>
      <w:rPr>
        <w:rStyle w:val="11"/>
        <w:kern w:val="0"/>
        <w:szCs w:val="21"/>
      </w:rPr>
      <w:instrText xml:space="preserve"> PAGE  </w:instrText>
    </w:r>
    <w:r>
      <w:rPr>
        <w:rStyle w:val="11"/>
        <w:kern w:val="0"/>
        <w:szCs w:val="21"/>
      </w:rPr>
      <w:fldChar w:fldCharType="separate"/>
    </w:r>
    <w:r>
      <w:rPr>
        <w:rStyle w:val="11"/>
        <w:kern w:val="0"/>
        <w:szCs w:val="21"/>
      </w:rPr>
      <w:t>1</w:t>
    </w:r>
    <w:r>
      <w:rPr>
        <w:rStyle w:val="11"/>
        <w:kern w:val="0"/>
        <w:szCs w:val="21"/>
      </w:rPr>
      <w:fldChar w:fldCharType="end"/>
    </w:r>
  </w:p>
  <w:p>
    <w:pPr>
      <w:pStyle w:val="3"/>
      <w:jc w:val="center"/>
      <w:rPr>
        <w:kern w:val="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53</w:t>
    </w:r>
    <w:r>
      <w:rPr>
        <w:rStyle w:val="11"/>
      </w:rPr>
      <w:fldChar w:fldCharType="end"/>
    </w:r>
  </w:p>
  <w:sdt>
    <w:sdtPr>
      <w:id w:val="-1184442659"/>
      <w:showingPlcHdr/>
    </w:sdtPr>
    <w:sdtContent>
      <w:p>
        <w:pPr>
          <w:pStyle w:val="3"/>
          <w:jc w:val="cente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59</w:t>
    </w:r>
    <w:r>
      <w:rPr>
        <w:rStyle w:val="11"/>
      </w:rPr>
      <w:fldChar w:fldCharType="end"/>
    </w:r>
  </w:p>
  <w:sdt>
    <w:sdtPr>
      <w:id w:val="53661253"/>
      <w:showingPlcHdr/>
    </w:sdtPr>
    <w:sdtContent>
      <w:p>
        <w:pPr>
          <w:pStyle w:val="3"/>
          <w:jc w:val="center"/>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between w:val="none" w:color="auto" w:sz="8" w:space="0"/>
      </w:pBdr>
      <w:spacing w:after="0" w:afterLines="0"/>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C79AF"/>
    <w:rsid w:val="1D66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uiPriority w:val="0"/>
  </w:style>
  <w:style w:type="character" w:styleId="12">
    <w:name w:val="Hyperlink"/>
    <w:basedOn w:val="9"/>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0"/>
    <w:pPr>
      <w:ind w:firstLine="420" w:firstLineChars="200"/>
    </w:pPr>
  </w:style>
  <w:style w:type="paragraph" w:customStyle="1" w:styleId="1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69</Pages>
  <Words>44984</Words>
  <Characters>45903</Characters>
  <Lines>0</Lines>
  <Paragraphs>0</Paragraphs>
  <TotalTime>0</TotalTime>
  <ScaleCrop>false</ScaleCrop>
  <LinksUpToDate>false</LinksUpToDate>
  <CharactersWithSpaces>46403</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2025-04-08T07:45:00Z</dcterms:created>
  <dc:creator>cib</dc:creator>
  <cp:lastModifiedBy>cib</cp:lastModifiedBy>
  <dcterms:modified xsi:type="dcterms:W3CDTF">2025-04-08T07:46:30Z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5D98F148CABB4F1DB30775083B14649F</vt:lpwstr>
  </property>
</Properties>
</file>