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VWMP6BT7RRQ0T9GRGRNQL0J7ZEMOYPRES06FJDWXFF8TGCTZ0BJQCJ7FY9TP8RRBEMXJOLIZIW78HNJQSFTYFFU8RZ0WLLBAOOD0HB31EFA22BB28998000F72D4202E04D824F" Type="http://schemas.microsoft.com/office/2006/relationships/officeDocumentMain" Target="docProps/core.xml"/><Relationship Id="CPWFI6BT796A06BGQARNRL0D7ZEMOYYREJ0XOJDWXGORTECTZDBRVCJWFYRHPB6RXFMX9OLHZIAD8IXJQFFTRF8H8RZ0WMWB8XODQHB37D80933C8B5C9DA507AA8BB661B40FA7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南银理财珠联璧合鑫逸稳三个月74期封闭式公募人民币理财产品发行公告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南银理财珠联璧合鑫逸稳三个月74期封闭式公募人民币理财产品（产品登记编码：Z7003225000053）已于2025年03月18日结束募集，符合产品成立条件，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于2025年03月19日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成立。该产品募集金额1,715,478,568.00元，理财资金将按产品说明书约定进行投资。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2025年03月20日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CVWMP6BT7RRQ0T9GRGRNQL0J7ZEMOYPRES06FJDWXFF8TGCTZ0BJQCJ7FY9TP8RRBEMXJOLIZIW78HNJQSFTYFFU8RZ0WLLBAOOD0HB31EFA22BB28998000F72D4202E04D824F</vt:lpwstr>
  </property>
  <property fmtid="{D5CDD505-2E9C-101B-9397-08002B2CF9AE}" pid="5" name="_KSOProductBuildSID">
    <vt:lpwstr>CPWFI6BT796A06BGQARNRL0D7ZEMOYYREJ0XOJDWXGORTECTZDBRVCJWFYRHPB6RXFMX9OLHZIAD8IXJQFFTRF8H8RZ0WMWB8XODQHB37D80933C8B5C9DA507AA8BB661B40FA7</vt:lpwstr>
  </property>
</Properties>
</file>