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CAWMK6GK79UQ06HGQAR80L0S7NL0OAYRQE0XLJDWXFBRTG5TZDBJQC0EFY5HPFRRXNMXCOL0ZH5D8LNJQOFTVF8H8RN0WILBBSODYHB3EF51709320A25AC309895686B007AF19" Type="http://schemas.microsoft.com/office/2006/relationships/officeDocumentMain" Target="docProps/core.xml"/><Relationship Id="DQWMG6GE797A0THGRPRNRLJB7ZD0OAPREF0XLJDWXGPRTFCTZ8BRVCJAFY9TPDIRXSM6EOLIZH578IJJRUFTDF8H8RF0WHLBBSOODHB3B00F653FA62203B34CE215DBC2F8E212"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30C7C">
      <w:pPr>
        <w:jc w:val="center"/>
        <w:rPr>
          <w:rFonts w:hint="eastAsia" w:ascii="方正黑体_GBK" w:hAnsi="方正黑体_GBK" w:eastAsia="方正黑体_GBK" w:cs="方正黑体_GBK"/>
          <w:b/>
          <w:color w:val="auto"/>
          <w:sz w:val="24"/>
          <w:szCs w:val="24"/>
        </w:rPr>
      </w:pPr>
      <w:r>
        <w:rPr>
          <w:rFonts w:hint="eastAsia" w:ascii="方正黑体_GBK" w:hAnsi="方正黑体_GBK" w:eastAsia="方正黑体_GBK" w:cs="方正黑体_GBK"/>
          <w:b/>
          <w:color w:val="auto"/>
          <w:sz w:val="24"/>
          <w:szCs w:val="24"/>
        </w:rPr>
        <w:t>关于</w:t>
      </w:r>
      <w:r>
        <w:rPr>
          <w:rFonts w:hint="eastAsia" w:ascii="方正黑体_GBK" w:hAnsi="方正黑体_GBK" w:eastAsia="方正黑体_GBK" w:cs="方正黑体_GBK"/>
          <w:b/>
          <w:color w:val="auto"/>
          <w:sz w:val="24"/>
          <w:szCs w:val="24"/>
          <w:lang w:val="en-US" w:eastAsia="zh-CN"/>
        </w:rPr>
        <w:t>调整</w:t>
      </w:r>
      <w:r>
        <w:rPr>
          <w:rFonts w:hint="eastAsia" w:ascii="方正黑体_GBK" w:hAnsi="方正黑体_GBK" w:eastAsia="方正黑体_GBK" w:cs="方正黑体_GBK"/>
          <w:b/>
          <w:color w:val="auto"/>
          <w:sz w:val="24"/>
          <w:szCs w:val="24"/>
        </w:rPr>
        <w:t>南银理财珠联璧合致远一年定开2022第1期公募人民币理财产品</w:t>
      </w:r>
    </w:p>
    <w:p w14:paraId="39A37A3A">
      <w:pPr>
        <w:jc w:val="center"/>
        <w:rPr>
          <w:rFonts w:hint="eastAsia" w:ascii="方正黑体_GBK" w:hAnsi="方正黑体_GBK" w:eastAsia="方正黑体_GBK" w:cs="方正黑体_GBK"/>
          <w:b/>
          <w:color w:val="auto"/>
          <w:sz w:val="24"/>
          <w:szCs w:val="24"/>
          <w:lang w:val="en-US" w:eastAsia="zh-CN"/>
        </w:rPr>
      </w:pPr>
      <w:r>
        <w:rPr>
          <w:rFonts w:hint="eastAsia" w:ascii="方正黑体_GBK" w:hAnsi="方正黑体_GBK" w:eastAsia="方正黑体_GBK" w:cs="方正黑体_GBK"/>
          <w:b/>
          <w:color w:val="auto"/>
          <w:sz w:val="24"/>
          <w:szCs w:val="24"/>
          <w:lang w:val="en-US" w:eastAsia="zh-CN"/>
        </w:rPr>
        <w:t>相关要素</w:t>
      </w:r>
      <w:r>
        <w:rPr>
          <w:rFonts w:hint="eastAsia" w:ascii="方正黑体_GBK" w:hAnsi="方正黑体_GBK" w:eastAsia="方正黑体_GBK" w:cs="方正黑体_GBK"/>
          <w:b/>
          <w:color w:val="auto"/>
          <w:sz w:val="24"/>
          <w:szCs w:val="24"/>
        </w:rPr>
        <w:t>的</w:t>
      </w:r>
      <w:r>
        <w:rPr>
          <w:rFonts w:hint="eastAsia" w:ascii="方正黑体_GBK" w:hAnsi="方正黑体_GBK" w:eastAsia="方正黑体_GBK" w:cs="方正黑体_GBK"/>
          <w:b/>
          <w:color w:val="auto"/>
          <w:sz w:val="24"/>
          <w:szCs w:val="24"/>
          <w:lang w:val="en-US" w:eastAsia="zh-CN"/>
        </w:rPr>
        <w:t>公告</w:t>
      </w:r>
    </w:p>
    <w:p w14:paraId="5504BB96">
      <w:pPr>
        <w:spacing w:line="288" w:lineRule="auto"/>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尊敬的投资者：</w:t>
      </w:r>
    </w:p>
    <w:p w14:paraId="4BA86706">
      <w:pPr>
        <w:spacing w:after="240" w:line="288" w:lineRule="auto"/>
        <w:ind w:firstLine="420"/>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lang w:val="en-US" w:eastAsia="zh-CN"/>
        </w:rPr>
        <w:t>根据</w:t>
      </w:r>
      <w:r>
        <w:rPr>
          <w:rFonts w:hint="eastAsia" w:ascii="方正黑体_GBK" w:hAnsi="方正黑体_GBK" w:eastAsia="方正黑体_GBK" w:cs="方正黑体_GBK"/>
          <w:color w:val="auto"/>
          <w:sz w:val="21"/>
          <w:szCs w:val="21"/>
        </w:rPr>
        <w:t>理财产品说明书的相关约定，本公司将对南银理财珠联璧合致远一年定开2022第1期公募人民币理财产品（产品登记编码：Z7003222000005）的</w:t>
      </w:r>
      <w:r>
        <w:rPr>
          <w:rFonts w:hint="eastAsia" w:ascii="方正黑体_GBK" w:hAnsi="方正黑体_GBK" w:eastAsia="方正黑体_GBK" w:cs="方正黑体_GBK"/>
          <w:color w:val="auto"/>
          <w:sz w:val="21"/>
          <w:szCs w:val="21"/>
          <w:lang w:val="en-US" w:eastAsia="zh-CN"/>
        </w:rPr>
        <w:t>业绩比较基准、业绩报酬</w:t>
      </w:r>
      <w:bookmarkStart w:id="0" w:name="_GoBack"/>
      <w:bookmarkEnd w:id="0"/>
      <w:r>
        <w:rPr>
          <w:rFonts w:hint="eastAsia" w:ascii="方正黑体_GBK" w:hAnsi="方正黑体_GBK" w:eastAsia="方正黑体_GBK" w:cs="方正黑体_GBK"/>
          <w:color w:val="auto"/>
          <w:sz w:val="21"/>
          <w:szCs w:val="21"/>
          <w:lang w:val="en-US" w:eastAsia="zh-CN"/>
        </w:rPr>
        <w:t>等表述进行调整</w:t>
      </w:r>
      <w:r>
        <w:rPr>
          <w:rFonts w:hint="eastAsia" w:ascii="方正黑体_GBK" w:hAnsi="方正黑体_GBK" w:eastAsia="方正黑体_GBK" w:cs="方正黑体_GBK"/>
          <w:color w:val="auto"/>
          <w:sz w:val="21"/>
          <w:szCs w:val="21"/>
        </w:rPr>
        <w:t>，内容具体如下：</w:t>
      </w:r>
    </w:p>
    <w:tbl>
      <w:tblPr>
        <w:tblStyle w:val="7"/>
        <w:tblW w:w="10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4188"/>
        <w:gridCol w:w="3900"/>
        <w:gridCol w:w="1027"/>
      </w:tblGrid>
      <w:tr w14:paraId="51B1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60" w:type="dxa"/>
            <w:vAlign w:val="center"/>
          </w:tcPr>
          <w:p w14:paraId="371798A9">
            <w:pPr>
              <w:jc w:val="center"/>
              <w:rPr>
                <w:rFonts w:hint="eastAsia" w:ascii="方正黑体_GBK" w:hAnsi="方正黑体_GBK" w:eastAsia="方正黑体_GBK" w:cs="方正黑体_GBK"/>
                <w:b w:val="0"/>
                <w:bCs w:val="0"/>
                <w:color w:val="auto"/>
                <w:sz w:val="18"/>
                <w:szCs w:val="18"/>
              </w:rPr>
            </w:pPr>
            <w:r>
              <w:rPr>
                <w:rFonts w:hint="eastAsia" w:ascii="方正黑体_GBK" w:hAnsi="方正黑体_GBK" w:eastAsia="方正黑体_GBK" w:cs="方正黑体_GBK"/>
                <w:b w:val="0"/>
                <w:bCs w:val="0"/>
                <w:color w:val="auto"/>
                <w:sz w:val="18"/>
                <w:szCs w:val="18"/>
              </w:rPr>
              <w:t>要素</w:t>
            </w:r>
          </w:p>
        </w:tc>
        <w:tc>
          <w:tcPr>
            <w:tcW w:w="4188" w:type="dxa"/>
            <w:vAlign w:val="center"/>
          </w:tcPr>
          <w:p w14:paraId="4CBD741C">
            <w:pPr>
              <w:jc w:val="center"/>
              <w:rPr>
                <w:rFonts w:hint="eastAsia" w:ascii="方正黑体_GBK" w:hAnsi="方正黑体_GBK" w:eastAsia="方正黑体_GBK" w:cs="方正黑体_GBK"/>
                <w:b w:val="0"/>
                <w:bCs w:val="0"/>
                <w:color w:val="auto"/>
                <w:sz w:val="18"/>
                <w:szCs w:val="18"/>
              </w:rPr>
            </w:pPr>
            <w:r>
              <w:rPr>
                <w:rFonts w:hint="eastAsia" w:ascii="方正黑体_GBK" w:hAnsi="方正黑体_GBK" w:eastAsia="方正黑体_GBK" w:cs="方正黑体_GBK"/>
                <w:b w:val="0"/>
                <w:bCs w:val="0"/>
                <w:color w:val="auto"/>
                <w:sz w:val="18"/>
                <w:szCs w:val="18"/>
                <w:lang w:val="en-US" w:eastAsia="zh-CN"/>
              </w:rPr>
              <w:t>优化</w:t>
            </w:r>
            <w:r>
              <w:rPr>
                <w:rFonts w:hint="eastAsia" w:ascii="方正黑体_GBK" w:hAnsi="方正黑体_GBK" w:eastAsia="方正黑体_GBK" w:cs="方正黑体_GBK"/>
                <w:b w:val="0"/>
                <w:bCs w:val="0"/>
                <w:color w:val="auto"/>
                <w:sz w:val="18"/>
                <w:szCs w:val="18"/>
              </w:rPr>
              <w:t>前</w:t>
            </w:r>
          </w:p>
        </w:tc>
        <w:tc>
          <w:tcPr>
            <w:tcW w:w="3900" w:type="dxa"/>
            <w:vAlign w:val="center"/>
          </w:tcPr>
          <w:p w14:paraId="311A808E">
            <w:pPr>
              <w:jc w:val="center"/>
              <w:rPr>
                <w:rFonts w:hint="eastAsia" w:ascii="方正黑体_GBK" w:hAnsi="方正黑体_GBK" w:eastAsia="方正黑体_GBK" w:cs="方正黑体_GBK"/>
                <w:b w:val="0"/>
                <w:bCs w:val="0"/>
                <w:color w:val="auto"/>
                <w:sz w:val="18"/>
                <w:szCs w:val="18"/>
              </w:rPr>
            </w:pPr>
            <w:r>
              <w:rPr>
                <w:rFonts w:hint="eastAsia" w:ascii="方正黑体_GBK" w:hAnsi="方正黑体_GBK" w:eastAsia="方正黑体_GBK" w:cs="方正黑体_GBK"/>
                <w:b w:val="0"/>
                <w:bCs w:val="0"/>
                <w:color w:val="auto"/>
                <w:sz w:val="18"/>
                <w:szCs w:val="18"/>
                <w:lang w:val="en-US" w:eastAsia="zh-CN"/>
              </w:rPr>
              <w:t>优化</w:t>
            </w:r>
            <w:r>
              <w:rPr>
                <w:rFonts w:hint="eastAsia" w:ascii="方正黑体_GBK" w:hAnsi="方正黑体_GBK" w:eastAsia="方正黑体_GBK" w:cs="方正黑体_GBK"/>
                <w:b w:val="0"/>
                <w:bCs w:val="0"/>
                <w:color w:val="auto"/>
                <w:sz w:val="18"/>
                <w:szCs w:val="18"/>
              </w:rPr>
              <w:t>后</w:t>
            </w:r>
          </w:p>
        </w:tc>
        <w:tc>
          <w:tcPr>
            <w:tcW w:w="1027" w:type="dxa"/>
            <w:vAlign w:val="center"/>
          </w:tcPr>
          <w:p w14:paraId="4F23F27D">
            <w:pPr>
              <w:jc w:val="center"/>
              <w:rPr>
                <w:rFonts w:hint="default" w:ascii="方正黑体_GBK" w:hAnsi="方正黑体_GBK" w:eastAsia="方正黑体_GBK" w:cs="方正黑体_GBK"/>
                <w:b w:val="0"/>
                <w:bCs w:val="0"/>
                <w:color w:val="auto"/>
                <w:sz w:val="18"/>
                <w:szCs w:val="18"/>
                <w:lang w:val="en-US" w:eastAsia="zh-CN"/>
              </w:rPr>
            </w:pPr>
            <w:r>
              <w:rPr>
                <w:rFonts w:hint="eastAsia" w:ascii="方正黑体_GBK" w:hAnsi="方正黑体_GBK" w:eastAsia="方正黑体_GBK" w:cs="方正黑体_GBK"/>
                <w:b w:val="0"/>
                <w:bCs w:val="0"/>
                <w:color w:val="auto"/>
                <w:sz w:val="18"/>
                <w:szCs w:val="18"/>
                <w:lang w:val="en-US" w:eastAsia="zh-CN"/>
              </w:rPr>
              <w:t>调整日期</w:t>
            </w:r>
          </w:p>
        </w:tc>
      </w:tr>
      <w:tr w14:paraId="7674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60" w:type="dxa"/>
            <w:vAlign w:val="center"/>
          </w:tcPr>
          <w:p w14:paraId="023519F4">
            <w:pPr>
              <w:jc w:val="center"/>
              <w:rPr>
                <w:rFonts w:hint="default" w:ascii="方正黑体_GBK" w:hAnsi="方正黑体_GBK" w:eastAsia="方正黑体_GBK" w:cs="方正黑体_GBK"/>
                <w:b w:val="0"/>
                <w:bCs w:val="0"/>
                <w:color w:val="auto"/>
                <w:sz w:val="18"/>
                <w:szCs w:val="18"/>
                <w:lang w:val="en-US" w:eastAsia="zh-CN"/>
              </w:rPr>
            </w:pPr>
            <w:r>
              <w:rPr>
                <w:rFonts w:hint="eastAsia" w:ascii="方正黑体_GBK" w:hAnsi="方正黑体_GBK" w:eastAsia="方正黑体_GBK" w:cs="方正黑体_GBK"/>
                <w:b w:val="0"/>
                <w:bCs w:val="0"/>
                <w:color w:val="auto"/>
                <w:sz w:val="18"/>
                <w:szCs w:val="18"/>
                <w:lang w:val="en-US" w:eastAsia="zh-CN"/>
              </w:rPr>
              <w:t>业绩比较基准</w:t>
            </w:r>
          </w:p>
        </w:tc>
        <w:tc>
          <w:tcPr>
            <w:tcW w:w="4188" w:type="dxa"/>
            <w:vAlign w:val="center"/>
          </w:tcPr>
          <w:p w14:paraId="42FB15F5">
            <w:r>
              <w:rPr>
                <w:rFonts w:ascii="方正黑体_GBK" w:eastAsia="方正黑体_GBK" w:cs="宋体"/>
                <w:sz w:val="18"/>
                <w:szCs w:val="18"/>
              </w:rPr>
              <w:t>业绩比较基准为中债新综合全价指数收益率</w:t>
            </w:r>
            <w:r>
              <w:rPr>
                <w:rFonts w:hint="eastAsia" w:ascii="方正黑体_GBK" w:eastAsia="方正黑体_GBK" w:cs="宋体"/>
                <w:kern w:val="2"/>
                <w:sz w:val="18"/>
                <w:szCs w:val="18"/>
              </w:rPr>
              <w:t>×</w:t>
            </w:r>
            <w:r>
              <w:rPr>
                <w:rFonts w:ascii="方正黑体_GBK" w:eastAsia="方正黑体_GBK" w:cs="宋体"/>
                <w:sz w:val="18"/>
                <w:szCs w:val="18"/>
              </w:rPr>
              <w:t>90%+沪深300指数收益率</w:t>
            </w:r>
            <w:r>
              <w:rPr>
                <w:rFonts w:hint="eastAsia" w:ascii="方正黑体_GBK" w:eastAsia="方正黑体_GBK" w:cs="宋体"/>
                <w:kern w:val="2"/>
                <w:sz w:val="18"/>
                <w:szCs w:val="18"/>
              </w:rPr>
              <w:t>×</w:t>
            </w:r>
            <w:r>
              <w:rPr>
                <w:rFonts w:ascii="方正黑体_GBK" w:eastAsia="方正黑体_GBK" w:cs="宋体"/>
                <w:sz w:val="18"/>
                <w:szCs w:val="18"/>
              </w:rPr>
              <w:t>10%。</w:t>
            </w:r>
          </w:p>
          <w:p w14:paraId="4F05B3AC">
            <w:pPr>
              <w:spacing w:line="200" w:lineRule="exact"/>
              <w:jc w:val="left"/>
            </w:pPr>
            <w:r>
              <w:rPr>
                <w:rFonts w:ascii="方正黑体_GBK" w:eastAsia="方正黑体_GBK" w:cs="宋体"/>
                <w:sz w:val="18"/>
                <w:szCs w:val="18"/>
              </w:rPr>
              <w:t>本理财产品业绩比较基准是管理人基于过往投资经验、对产品存续期拟投资标的和相应投资市场波动的预判设定的投资目标。本理财产品投资于固定收益类资产的比例不低于80%，投资于非标准化债权类资产的比例不高于50%，投资于权益类资产的比例不高于20%。结合债券市场、拟投资的非标准化债权类资产、权益市场的收益和波动水平，在本理财产品约定的投资策略基础上，管理人设定了本理财产品投资周期内业绩比较基准为中债新综合全价指数收益率×90%+沪深300指数收益率×10%。</w:t>
            </w:r>
          </w:p>
          <w:p w14:paraId="126288A2">
            <w:pPr>
              <w:spacing w:line="200" w:lineRule="exact"/>
              <w:jc w:val="left"/>
            </w:pPr>
            <w:r>
              <w:rPr>
                <w:rFonts w:ascii="方正黑体_GBK" w:eastAsia="方正黑体_GBK" w:cs="宋体"/>
                <w:sz w:val="18"/>
                <w:szCs w:val="18"/>
              </w:rPr>
              <w:t>注：1.中债新综合全价指数为中央国债登记结算有限责任公司发布的债券指数，投资者可登陆中国债券信息网查询；沪深300指数为中证指数有限公司发布的股票指数，投资者可登陆中证指数有限公司官网查询。</w:t>
            </w:r>
            <w:r>
              <w:rPr>
                <w:rFonts w:ascii="方正黑体_GBK" w:eastAsia="方正黑体_GBK"/>
              </w:rPr>
              <w:br w:type="textWrapping"/>
            </w:r>
            <w:r>
              <w:rPr>
                <w:rFonts w:ascii="方正黑体_GBK" w:eastAsia="方正黑体_GBK" w:cs="宋体"/>
                <w:sz w:val="18"/>
                <w:szCs w:val="18"/>
              </w:rPr>
              <w:t>2.在某一封闭期内，以上指数收益率计算方式为：（封闭期末日的指数收盘价÷封闭期首日前一工作日的指数收盘价-1）÷该封闭期天数×365天。</w:t>
            </w:r>
            <w:r>
              <w:rPr>
                <w:rFonts w:ascii="方正黑体_GBK" w:eastAsia="方正黑体_GBK"/>
              </w:rPr>
              <w:br w:type="textWrapping"/>
            </w:r>
            <w:r>
              <w:rPr>
                <w:rFonts w:ascii="方正黑体_GBK" w:eastAsia="方正黑体_GBK" w:cs="宋体"/>
                <w:sz w:val="18"/>
                <w:szCs w:val="18"/>
              </w:rPr>
              <w:t>3.管理人将在本理财产品定期报告中对以上业绩比较基准进行跟踪和披露。</w:t>
            </w:r>
            <w:r>
              <w:rPr>
                <w:rFonts w:ascii="方正黑体_GBK" w:eastAsia="方正黑体_GBK"/>
              </w:rPr>
              <w:br w:type="textWrapping"/>
            </w:r>
            <w:r>
              <w:rPr>
                <w:rFonts w:ascii="方正黑体_GBK" w:eastAsia="方正黑体_GBK" w:cs="宋体"/>
                <w:sz w:val="18"/>
                <w:szCs w:val="18"/>
              </w:rPr>
              <w:t>4.管理人可根据市场情况对业绩比较基准进行适当调整，如有调整，将至少于调整前3个工作日公布调整方案。</w:t>
            </w:r>
          </w:p>
          <w:p w14:paraId="73F50A51">
            <w:pPr>
              <w:widowControl/>
              <w:spacing w:line="200" w:lineRule="exact"/>
              <w:jc w:val="left"/>
              <w:rPr>
                <w:rFonts w:hint="eastAsia" w:ascii="方正黑体_GBK" w:hAnsi="方正黑体_GBK" w:eastAsia="方正黑体_GBK" w:cs="方正黑体_GBK"/>
                <w:color w:val="auto"/>
                <w:kern w:val="0"/>
                <w:sz w:val="18"/>
                <w:szCs w:val="18"/>
                <w:lang w:val="en-US" w:eastAsia="zh-CN"/>
              </w:rPr>
            </w:pPr>
            <w:r>
              <w:rPr>
                <w:rFonts w:ascii="方正黑体_GBK" w:eastAsia="方正黑体_GBK" w:cs="宋体"/>
                <w:b/>
                <w:sz w:val="18"/>
                <w:szCs w:val="18"/>
              </w:rPr>
              <w:t>本理财产品为净值型理财产品，业绩比较基准不是预期收益率，不代表产品的未来表现和实际收益，不构成对产品收益的承诺。</w:t>
            </w:r>
          </w:p>
        </w:tc>
        <w:tc>
          <w:tcPr>
            <w:tcW w:w="3900" w:type="dxa"/>
            <w:vAlign w:val="center"/>
          </w:tcPr>
          <w:p w14:paraId="016A0928">
            <w:pPr>
              <w:spacing w:line="200" w:lineRule="exact"/>
              <w:jc w:val="left"/>
            </w:pPr>
            <w:r>
              <w:rPr>
                <w:rFonts w:ascii="方正黑体_GBK" w:hAnsi="方正黑体_GBK" w:eastAsia="方正黑体_GBK" w:cs="宋体"/>
                <w:b/>
                <w:sz w:val="18"/>
                <w:szCs w:val="18"/>
              </w:rPr>
              <w:t>本理财产品以中债新综合全价（1-3年）指数收益率×95%+中证800指数收益率×5%作为业绩比较基准。</w:t>
            </w:r>
          </w:p>
          <w:p w14:paraId="22B97F28">
            <w:pPr>
              <w:spacing w:line="200" w:lineRule="exact"/>
              <w:jc w:val="left"/>
            </w:pPr>
          </w:p>
          <w:p w14:paraId="0AA00876">
            <w:pPr>
              <w:spacing w:line="200" w:lineRule="exact"/>
            </w:pPr>
            <w:r>
              <w:rPr>
                <w:rFonts w:ascii="方正黑体_GBK" w:hAnsi="方正黑体_GBK" w:eastAsia="方正黑体_GBK" w:cs="宋体"/>
                <w:sz w:val="18"/>
                <w:szCs w:val="18"/>
              </w:rPr>
              <w:t>注：1.中债新综合全价（1-3年）指数为中央国债登记结算有限责任公司发布的债券指数，投资者可登陆中国债券信息网查询；中证800指数为中证指数有限公司发布的股票指数，投资者可登陆中证指数有限公司官网查询。</w:t>
            </w:r>
            <w:r>
              <w:rPr>
                <w:rFonts w:ascii="方正黑体_GBK" w:hAnsi="方正黑体_GBK" w:eastAsia="方正黑体_GBK"/>
              </w:rPr>
              <w:br w:type="textWrapping"/>
            </w:r>
            <w:r>
              <w:rPr>
                <w:rFonts w:ascii="方正黑体_GBK" w:hAnsi="方正黑体_GBK" w:eastAsia="方正黑体_GBK" w:cs="宋体"/>
                <w:sz w:val="18"/>
                <w:szCs w:val="18"/>
              </w:rPr>
              <w:t>2.在某一封闭期内，以上指数收益率计算方式为：（封闭期末日的指数收盘价÷封闭期首日前一工作日的指数收盘价-1）÷该封闭期天数×365天。</w:t>
            </w:r>
            <w:r>
              <w:rPr>
                <w:rFonts w:ascii="方正黑体_GBK" w:hAnsi="方正黑体_GBK" w:eastAsia="方正黑体_GBK"/>
              </w:rPr>
              <w:br w:type="textWrapping"/>
            </w:r>
            <w:r>
              <w:rPr>
                <w:rFonts w:ascii="方正黑体_GBK" w:hAnsi="方正黑体_GBK" w:eastAsia="方正黑体_GBK" w:cs="宋体"/>
                <w:sz w:val="18"/>
                <w:szCs w:val="18"/>
              </w:rPr>
              <w:t>3.管理人将在本理财产品定期报告中对以上业绩比较基准进行跟踪和披露。</w:t>
            </w:r>
            <w:r>
              <w:rPr>
                <w:rFonts w:ascii="方正黑体_GBK" w:hAnsi="方正黑体_GBK" w:eastAsia="方正黑体_GBK"/>
              </w:rPr>
              <w:br w:type="textWrapping"/>
            </w:r>
            <w:r>
              <w:rPr>
                <w:rFonts w:ascii="方正黑体_GBK" w:hAnsi="方正黑体_GBK" w:eastAsia="方正黑体_GBK" w:cs="宋体"/>
                <w:sz w:val="18"/>
                <w:szCs w:val="18"/>
              </w:rPr>
              <w:t>4.管理人可根据市场情况对业绩比较基准进行适当调整，如有调整，将至少于调整前3个工作日公布调整方案。</w:t>
            </w:r>
          </w:p>
          <w:p w14:paraId="2D1455EE">
            <w:pPr>
              <w:spacing w:line="200" w:lineRule="exact"/>
            </w:pPr>
            <w:r>
              <w:rPr>
                <w:rFonts w:ascii="方正黑体_GBK" w:hAnsi="方正黑体_GBK" w:eastAsia="方正黑体_GBK" w:cs="宋体"/>
                <w:sz w:val="18"/>
                <w:szCs w:val="18"/>
              </w:rPr>
              <w:t>本理财产品业绩比较基准是管理人基于过往投资经验、对产品存续期拟投资标的和相应投资市场波动的预判设定的投资目标。本理财产品投资于固定收益类资产的比例不低于本理财产品总资产的80%,投资于非标准化债权类资产的比例不高于本理财产品净资产的50%,投资于权益类资产的比例不高于本理财产品总资产的20%。结合债券市场、拟投资的非标准化债权类资产、权益市场的收益和波动水平，在本理财产品约定的投资策略基础上，管理人设定了本理财产品投资周期内的业绩比较基准。</w:t>
            </w:r>
          </w:p>
          <w:p w14:paraId="54E44208">
            <w:pPr>
              <w:widowControl/>
              <w:spacing w:line="200" w:lineRule="exact"/>
              <w:jc w:val="left"/>
              <w:rPr>
                <w:rFonts w:hint="eastAsia" w:ascii="方正黑体_GBK" w:hAnsi="方正黑体_GBK" w:eastAsia="方正黑体_GBK" w:cs="方正黑体_GBK"/>
                <w:color w:val="auto"/>
                <w:kern w:val="0"/>
                <w:sz w:val="18"/>
                <w:szCs w:val="18"/>
                <w:lang w:val="en-US" w:eastAsia="zh-CN"/>
              </w:rPr>
            </w:pPr>
            <w:r>
              <w:rPr>
                <w:rFonts w:ascii="方正黑体_GBK" w:hAnsi="方正黑体_GBK" w:eastAsia="方正黑体_GBK" w:cs="宋体"/>
                <w:b/>
                <w:sz w:val="18"/>
                <w:szCs w:val="18"/>
              </w:rPr>
              <w:t>本理财产品为净值型理财产品，业绩比较基准不是预期收益率，不代表产品的未来表现和实际收益，不构成对产品收益的承诺。</w:t>
            </w:r>
          </w:p>
        </w:tc>
        <w:tc>
          <w:tcPr>
            <w:tcW w:w="1027" w:type="dxa"/>
            <w:vAlign w:val="center"/>
          </w:tcPr>
          <w:p w14:paraId="42BCBA5F">
            <w:pPr>
              <w:widowControl/>
              <w:spacing w:line="200" w:lineRule="exact"/>
              <w:jc w:val="left"/>
              <w:rPr>
                <w:rFonts w:hint="default" w:ascii="方正黑体_GBK" w:hAnsi="方正黑体_GBK" w:eastAsia="方正黑体_GBK" w:cs="宋体"/>
                <w:b/>
                <w:sz w:val="18"/>
                <w:szCs w:val="18"/>
                <w:lang w:val="en-US"/>
              </w:rPr>
            </w:pPr>
            <w:r>
              <w:rPr>
                <w:rFonts w:hint="eastAsia" w:ascii="方正黑体_GBK" w:hAnsi="方正黑体_GBK" w:eastAsia="方正黑体_GBK" w:cs="方正黑体_GBK"/>
                <w:color w:val="auto"/>
                <w:kern w:val="0"/>
                <w:sz w:val="18"/>
                <w:szCs w:val="18"/>
                <w:lang w:val="en-US" w:eastAsia="zh-CN"/>
              </w:rPr>
              <w:t>2025/3/13</w:t>
            </w:r>
          </w:p>
        </w:tc>
      </w:tr>
      <w:tr w14:paraId="63E3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160" w:type="dxa"/>
            <w:vAlign w:val="center"/>
          </w:tcPr>
          <w:p w14:paraId="156E8080">
            <w:pPr>
              <w:jc w:val="center"/>
              <w:rPr>
                <w:rFonts w:hint="default" w:ascii="方正黑体_GBK" w:hAnsi="方正黑体_GBK" w:eastAsia="方正黑体_GBK" w:cs="方正黑体_GBK"/>
                <w:b w:val="0"/>
                <w:bCs w:val="0"/>
                <w:color w:val="auto"/>
                <w:sz w:val="18"/>
                <w:szCs w:val="18"/>
                <w:lang w:val="en-US" w:eastAsia="zh-CN"/>
              </w:rPr>
            </w:pPr>
            <w:r>
              <w:rPr>
                <w:rFonts w:hint="eastAsia" w:ascii="方正黑体_GBK" w:hAnsi="方正黑体_GBK" w:eastAsia="方正黑体_GBK" w:cs="方正黑体_GBK"/>
                <w:b w:val="0"/>
                <w:bCs w:val="0"/>
                <w:color w:val="auto"/>
                <w:sz w:val="18"/>
                <w:szCs w:val="18"/>
                <w:lang w:val="en-US" w:eastAsia="zh-CN"/>
              </w:rPr>
              <w:t>业绩报酬</w:t>
            </w:r>
          </w:p>
        </w:tc>
        <w:tc>
          <w:tcPr>
            <w:tcW w:w="4188" w:type="dxa"/>
            <w:vAlign w:val="center"/>
          </w:tcPr>
          <w:p w14:paraId="4CEA58FE">
            <w:pPr>
              <w:widowControl/>
              <w:spacing w:line="200" w:lineRule="exact"/>
              <w:jc w:val="left"/>
              <w:rPr>
                <w:rFonts w:hint="eastAsia" w:ascii="方正黑体_GBK" w:hAnsi="方正黑体_GBK" w:eastAsia="方正黑体_GBK" w:cs="方正黑体_GBK"/>
                <w:b/>
                <w:bCs/>
                <w:color w:val="auto"/>
                <w:kern w:val="0"/>
                <w:sz w:val="18"/>
                <w:szCs w:val="18"/>
                <w:lang w:val="en-US" w:eastAsia="zh-CN"/>
              </w:rPr>
            </w:pPr>
            <w:r>
              <w:rPr>
                <w:rFonts w:ascii="方正黑体_GBK" w:hAnsi="方正黑体_GBK" w:eastAsia="方正黑体_GBK" w:cs="宋体"/>
                <w:b/>
                <w:sz w:val="18"/>
              </w:rPr>
              <w:t>业绩报酬：申购/赎回确认日和产品实际到期时，当期产品投资的实际资产组合收益（扣除销售费、固定管理费、托管费等相关费用）超过4.5%（年化，即产品该份额对应的业绩报酬计提基准）时，超过部分管理人将按30%收取业绩报酬</w:t>
            </w:r>
            <w:r>
              <w:rPr>
                <w:rFonts w:hint="eastAsia" w:ascii="方正黑体_GBK" w:hAnsi="方正黑体_GBK" w:eastAsia="方正黑体_GBK" w:cs="方正黑体_GBK"/>
                <w:b/>
                <w:bCs/>
                <w:color w:val="auto"/>
                <w:kern w:val="0"/>
                <w:sz w:val="18"/>
                <w:szCs w:val="18"/>
                <w:lang w:val="en-US" w:eastAsia="zh-CN"/>
              </w:rPr>
              <w:t>。</w:t>
            </w:r>
          </w:p>
        </w:tc>
        <w:tc>
          <w:tcPr>
            <w:tcW w:w="3900" w:type="dxa"/>
            <w:vAlign w:val="center"/>
          </w:tcPr>
          <w:p w14:paraId="5929048D">
            <w:pPr>
              <w:widowControl/>
              <w:spacing w:line="200" w:lineRule="exact"/>
              <w:jc w:val="left"/>
              <w:rPr>
                <w:rFonts w:hint="eastAsia" w:ascii="方正黑体_GBK" w:hAnsi="方正黑体_GBK" w:eastAsia="方正黑体_GBK" w:cs="宋体"/>
                <w:b/>
                <w:sz w:val="18"/>
                <w:szCs w:val="18"/>
                <w:lang w:eastAsia="zh-CN"/>
              </w:rPr>
            </w:pPr>
            <w:r>
              <w:rPr>
                <w:rFonts w:ascii="方正黑体_GBK" w:hAnsi="方正黑体_GBK" w:eastAsia="方正黑体_GBK" w:cs="宋体"/>
                <w:b/>
                <w:sz w:val="18"/>
                <w:szCs w:val="18"/>
              </w:rPr>
              <w:t>业绩报酬：申购/赎回确认日和产品实际到期时，当期产品投资的实际资产组合收益（扣除销售费、固定管理费、托管费等相关费用）超过3.8%（年化，即产品该份额对应的业绩报酬计提基准）时，超过部分管理人将按30%收取业绩报酬。</w:t>
            </w:r>
          </w:p>
        </w:tc>
        <w:tc>
          <w:tcPr>
            <w:tcW w:w="1027" w:type="dxa"/>
            <w:vAlign w:val="center"/>
          </w:tcPr>
          <w:p w14:paraId="7586B82C">
            <w:pPr>
              <w:widowControl/>
              <w:spacing w:line="200" w:lineRule="exact"/>
              <w:jc w:val="left"/>
              <w:rPr>
                <w:rFonts w:hint="default" w:ascii="方正黑体_GBK" w:hAnsi="方正黑体_GBK" w:eastAsia="方正黑体_GBK" w:cs="宋体"/>
                <w:b/>
                <w:sz w:val="18"/>
                <w:szCs w:val="18"/>
                <w:lang w:val="en-US"/>
              </w:rPr>
            </w:pPr>
            <w:r>
              <w:rPr>
                <w:rFonts w:hint="eastAsia" w:ascii="方正黑体_GBK" w:hAnsi="方正黑体_GBK" w:eastAsia="方正黑体_GBK" w:cs="方正黑体_GBK"/>
                <w:color w:val="auto"/>
                <w:kern w:val="0"/>
                <w:sz w:val="18"/>
                <w:szCs w:val="18"/>
                <w:lang w:val="en-US" w:eastAsia="zh-CN"/>
              </w:rPr>
              <w:t>2025/3/13</w:t>
            </w:r>
          </w:p>
        </w:tc>
      </w:tr>
    </w:tbl>
    <w:p w14:paraId="3BAB1A93">
      <w:pPr>
        <w:spacing w:before="240" w:line="288" w:lineRule="auto"/>
        <w:ind w:firstLine="420"/>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同时，本公司对本理财产品销售文件进行了更新，更新后的理财产品销售文件详见</w:t>
      </w:r>
      <w:r>
        <w:rPr>
          <w:rFonts w:hint="eastAsia" w:ascii="方正黑体_GBK" w:hAnsi="方正黑体_GBK" w:eastAsia="方正黑体_GBK" w:cs="方正黑体_GBK"/>
          <w:color w:val="auto"/>
          <w:sz w:val="21"/>
          <w:szCs w:val="21"/>
          <w:lang w:val="en-US" w:eastAsia="zh-CN"/>
        </w:rPr>
        <w:t>信息披露</w:t>
      </w:r>
      <w:r>
        <w:rPr>
          <w:rFonts w:hint="eastAsia" w:ascii="方正黑体_GBK" w:hAnsi="方正黑体_GBK" w:eastAsia="方正黑体_GBK" w:cs="方正黑体_GBK"/>
          <w:color w:val="auto"/>
          <w:sz w:val="21"/>
          <w:szCs w:val="21"/>
        </w:rPr>
        <w:t>。</w:t>
      </w:r>
    </w:p>
    <w:p w14:paraId="1FC57878">
      <w:pPr>
        <w:spacing w:line="288" w:lineRule="auto"/>
        <w:ind w:firstLine="420"/>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b/>
          <w:bCs/>
          <w:color w:val="auto"/>
          <w:sz w:val="21"/>
          <w:szCs w:val="21"/>
        </w:rPr>
        <w:t>如您不同意上述调整，可于202</w:t>
      </w:r>
      <w:r>
        <w:rPr>
          <w:rFonts w:hint="eastAsia" w:ascii="方正黑体_GBK" w:hAnsi="方正黑体_GBK" w:eastAsia="方正黑体_GBK" w:cs="方正黑体_GBK"/>
          <w:b/>
          <w:bCs/>
          <w:color w:val="auto"/>
          <w:sz w:val="21"/>
          <w:szCs w:val="21"/>
          <w:lang w:val="en-US" w:eastAsia="zh-CN"/>
        </w:rPr>
        <w:t>5</w:t>
      </w:r>
      <w:r>
        <w:rPr>
          <w:rFonts w:hint="eastAsia" w:ascii="方正黑体_GBK" w:hAnsi="方正黑体_GBK" w:eastAsia="方正黑体_GBK" w:cs="方正黑体_GBK"/>
          <w:b/>
          <w:bCs/>
          <w:color w:val="auto"/>
          <w:sz w:val="21"/>
          <w:szCs w:val="21"/>
        </w:rPr>
        <w:t>年</w:t>
      </w:r>
      <w:r>
        <w:rPr>
          <w:rFonts w:hint="eastAsia" w:ascii="方正黑体_GBK" w:hAnsi="方正黑体_GBK" w:eastAsia="方正黑体_GBK" w:cs="方正黑体_GBK"/>
          <w:b/>
          <w:bCs/>
          <w:color w:val="auto"/>
          <w:sz w:val="21"/>
          <w:szCs w:val="21"/>
          <w:lang w:val="en-US" w:eastAsia="zh-CN"/>
        </w:rPr>
        <w:t>3</w:t>
      </w:r>
      <w:r>
        <w:rPr>
          <w:rFonts w:hint="eastAsia" w:ascii="方正黑体_GBK" w:hAnsi="方正黑体_GBK" w:eastAsia="方正黑体_GBK" w:cs="方正黑体_GBK"/>
          <w:b/>
          <w:bCs/>
          <w:color w:val="auto"/>
          <w:sz w:val="21"/>
          <w:szCs w:val="21"/>
        </w:rPr>
        <w:t>月</w:t>
      </w:r>
      <w:r>
        <w:rPr>
          <w:rFonts w:hint="eastAsia" w:ascii="方正黑体_GBK" w:hAnsi="方正黑体_GBK" w:eastAsia="方正黑体_GBK" w:cs="方正黑体_GBK"/>
          <w:b/>
          <w:bCs/>
          <w:color w:val="auto"/>
          <w:sz w:val="21"/>
          <w:szCs w:val="21"/>
          <w:lang w:val="en-US" w:eastAsia="zh-CN"/>
        </w:rPr>
        <w:t>6</w:t>
      </w:r>
      <w:r>
        <w:rPr>
          <w:rFonts w:hint="eastAsia" w:ascii="方正黑体_GBK" w:hAnsi="方正黑体_GBK" w:eastAsia="方正黑体_GBK" w:cs="方正黑体_GBK"/>
          <w:b/>
          <w:bCs/>
          <w:color w:val="auto"/>
          <w:sz w:val="21"/>
          <w:szCs w:val="21"/>
        </w:rPr>
        <w:t>日至202</w:t>
      </w:r>
      <w:r>
        <w:rPr>
          <w:rFonts w:hint="eastAsia" w:ascii="方正黑体_GBK" w:hAnsi="方正黑体_GBK" w:eastAsia="方正黑体_GBK" w:cs="方正黑体_GBK"/>
          <w:b/>
          <w:bCs/>
          <w:color w:val="auto"/>
          <w:sz w:val="21"/>
          <w:szCs w:val="21"/>
          <w:lang w:val="en-US" w:eastAsia="zh-CN"/>
        </w:rPr>
        <w:t>5</w:t>
      </w:r>
      <w:r>
        <w:rPr>
          <w:rFonts w:hint="eastAsia" w:ascii="方正黑体_GBK" w:hAnsi="方正黑体_GBK" w:eastAsia="方正黑体_GBK" w:cs="方正黑体_GBK"/>
          <w:b/>
          <w:bCs/>
          <w:color w:val="auto"/>
          <w:sz w:val="21"/>
          <w:szCs w:val="21"/>
        </w:rPr>
        <w:t>年</w:t>
      </w:r>
      <w:r>
        <w:rPr>
          <w:rFonts w:hint="eastAsia" w:ascii="方正黑体_GBK" w:hAnsi="方正黑体_GBK" w:eastAsia="方正黑体_GBK" w:cs="方正黑体_GBK"/>
          <w:b/>
          <w:bCs/>
          <w:color w:val="auto"/>
          <w:sz w:val="21"/>
          <w:szCs w:val="21"/>
          <w:lang w:val="en-US" w:eastAsia="zh-CN"/>
        </w:rPr>
        <w:t>3</w:t>
      </w:r>
      <w:r>
        <w:rPr>
          <w:rFonts w:hint="eastAsia" w:ascii="方正黑体_GBK" w:hAnsi="方正黑体_GBK" w:eastAsia="方正黑体_GBK" w:cs="方正黑体_GBK"/>
          <w:b/>
          <w:bCs/>
          <w:color w:val="auto"/>
          <w:sz w:val="21"/>
          <w:szCs w:val="21"/>
        </w:rPr>
        <w:t>月</w:t>
      </w:r>
      <w:r>
        <w:rPr>
          <w:rFonts w:hint="eastAsia" w:ascii="方正黑体_GBK" w:hAnsi="方正黑体_GBK" w:eastAsia="方正黑体_GBK" w:cs="方正黑体_GBK"/>
          <w:b/>
          <w:bCs/>
          <w:color w:val="auto"/>
          <w:sz w:val="21"/>
          <w:szCs w:val="21"/>
          <w:lang w:val="en-US" w:eastAsia="zh-CN"/>
        </w:rPr>
        <w:t>12</w:t>
      </w:r>
      <w:r>
        <w:rPr>
          <w:rFonts w:hint="eastAsia" w:ascii="方正黑体_GBK" w:hAnsi="方正黑体_GBK" w:eastAsia="方正黑体_GBK" w:cs="方正黑体_GBK"/>
          <w:b/>
          <w:bCs/>
          <w:color w:val="auto"/>
          <w:sz w:val="21"/>
          <w:szCs w:val="21"/>
        </w:rPr>
        <w:t>日（产品申购/赎回开放期期间）通过代销机构向管理人申请赎回。</w:t>
      </w:r>
    </w:p>
    <w:p w14:paraId="251AF192">
      <w:pPr>
        <w:spacing w:line="288" w:lineRule="auto"/>
        <w:ind w:firstLine="420"/>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如您对本</w:t>
      </w:r>
      <w:r>
        <w:rPr>
          <w:rFonts w:hint="eastAsia" w:ascii="方正黑体_GBK" w:hAnsi="方正黑体_GBK" w:eastAsia="方正黑体_GBK" w:cs="方正黑体_GBK"/>
          <w:color w:val="auto"/>
          <w:sz w:val="21"/>
          <w:szCs w:val="21"/>
          <w:lang w:val="en-US" w:eastAsia="zh-CN"/>
        </w:rPr>
        <w:t>公告</w:t>
      </w:r>
      <w:r>
        <w:rPr>
          <w:rFonts w:hint="eastAsia" w:ascii="方正黑体_GBK" w:hAnsi="方正黑体_GBK" w:eastAsia="方正黑体_GBK" w:cs="方正黑体_GBK"/>
          <w:color w:val="auto"/>
          <w:sz w:val="21"/>
          <w:szCs w:val="21"/>
        </w:rPr>
        <w:t>有任何疑问，可联系本理财产品代销机构或本公司，代销机构及本公司将竭诚为您服务。</w:t>
      </w:r>
    </w:p>
    <w:p w14:paraId="6EDFA6E8">
      <w:pPr>
        <w:spacing w:line="288" w:lineRule="auto"/>
        <w:ind w:firstLine="420"/>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感谢您一直以来的支持与信赖！</w:t>
      </w:r>
    </w:p>
    <w:p w14:paraId="52612B0A">
      <w:pPr>
        <w:spacing w:line="288" w:lineRule="auto"/>
        <w:ind w:firstLine="420"/>
        <w:jc w:val="right"/>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南银理财有限责任公司</w:t>
      </w:r>
    </w:p>
    <w:p w14:paraId="0FB630EF">
      <w:pPr>
        <w:spacing w:line="288" w:lineRule="auto"/>
        <w:ind w:firstLine="420"/>
        <w:jc w:val="right"/>
        <w:rPr>
          <w:rFonts w:hint="eastAsia" w:ascii="方正黑体_GBK" w:hAnsi="方正黑体_GBK" w:eastAsia="方正黑体_GBK" w:cs="方正黑体_GBK"/>
          <w:color w:val="auto"/>
          <w:sz w:val="22"/>
          <w:szCs w:val="22"/>
        </w:rPr>
      </w:pPr>
      <w:r>
        <w:rPr>
          <w:rFonts w:hint="eastAsia" w:ascii="方正黑体_GBK" w:hAnsi="方正黑体_GBK" w:eastAsia="方正黑体_GBK" w:cs="方正黑体_GBK"/>
          <w:color w:val="auto"/>
          <w:sz w:val="21"/>
          <w:szCs w:val="21"/>
        </w:rPr>
        <w:t>202</w:t>
      </w:r>
      <w:r>
        <w:rPr>
          <w:rFonts w:hint="eastAsia" w:ascii="方正黑体_GBK" w:hAnsi="方正黑体_GBK" w:eastAsia="方正黑体_GBK" w:cs="方正黑体_GBK"/>
          <w:color w:val="auto"/>
          <w:sz w:val="21"/>
          <w:szCs w:val="21"/>
          <w:lang w:val="en-US" w:eastAsia="zh-CN"/>
        </w:rPr>
        <w:t>5</w:t>
      </w:r>
      <w:r>
        <w:rPr>
          <w:rFonts w:hint="eastAsia" w:ascii="方正黑体_GBK" w:hAnsi="方正黑体_GBK" w:eastAsia="方正黑体_GBK" w:cs="方正黑体_GBK"/>
          <w:color w:val="auto"/>
          <w:sz w:val="21"/>
          <w:szCs w:val="21"/>
        </w:rPr>
        <w:t>年</w:t>
      </w:r>
      <w:r>
        <w:rPr>
          <w:rFonts w:hint="eastAsia" w:ascii="方正黑体_GBK" w:hAnsi="方正黑体_GBK" w:eastAsia="方正黑体_GBK" w:cs="方正黑体_GBK"/>
          <w:color w:val="auto"/>
          <w:sz w:val="21"/>
          <w:szCs w:val="21"/>
          <w:lang w:val="en-US" w:eastAsia="zh-CN"/>
        </w:rPr>
        <w:t>2</w:t>
      </w:r>
      <w:r>
        <w:rPr>
          <w:rFonts w:hint="eastAsia" w:ascii="方正黑体_GBK" w:hAnsi="方正黑体_GBK" w:eastAsia="方正黑体_GBK" w:cs="方正黑体_GBK"/>
          <w:color w:val="auto"/>
          <w:sz w:val="21"/>
          <w:szCs w:val="21"/>
        </w:rPr>
        <w:t>月</w:t>
      </w:r>
      <w:r>
        <w:rPr>
          <w:rFonts w:hint="eastAsia" w:ascii="方正黑体_GBK" w:hAnsi="方正黑体_GBK" w:eastAsia="方正黑体_GBK" w:cs="方正黑体_GBK"/>
          <w:color w:val="auto"/>
          <w:sz w:val="21"/>
          <w:szCs w:val="21"/>
          <w:lang w:val="en-US" w:eastAsia="zh-CN"/>
        </w:rPr>
        <w:t>28</w:t>
      </w:r>
      <w:r>
        <w:rPr>
          <w:rFonts w:hint="eastAsia" w:ascii="方正黑体_GBK" w:hAnsi="方正黑体_GBK" w:eastAsia="方正黑体_GBK" w:cs="方正黑体_GBK"/>
          <w:color w:val="auto"/>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MzZhNmM2Y2MxN2VlZmQ5NTNmMWIxY2JkMzcxYzIifQ=="/>
  </w:docVars>
  <w:rsids>
    <w:rsidRoot w:val="363E586D"/>
    <w:rsid w:val="003A17FC"/>
    <w:rsid w:val="003D6625"/>
    <w:rsid w:val="00454152"/>
    <w:rsid w:val="00AB5D15"/>
    <w:rsid w:val="00B118BD"/>
    <w:rsid w:val="00CE5FB9"/>
    <w:rsid w:val="00CF401D"/>
    <w:rsid w:val="03473963"/>
    <w:rsid w:val="038C4B0B"/>
    <w:rsid w:val="03CB7CE8"/>
    <w:rsid w:val="057F019D"/>
    <w:rsid w:val="08161C67"/>
    <w:rsid w:val="0E8D7052"/>
    <w:rsid w:val="0ECD6DF7"/>
    <w:rsid w:val="0FFE14C9"/>
    <w:rsid w:val="11185866"/>
    <w:rsid w:val="11AC1F9A"/>
    <w:rsid w:val="125412D5"/>
    <w:rsid w:val="1281516D"/>
    <w:rsid w:val="128B699D"/>
    <w:rsid w:val="12914741"/>
    <w:rsid w:val="12AA36D7"/>
    <w:rsid w:val="142A1F25"/>
    <w:rsid w:val="149A59CD"/>
    <w:rsid w:val="14E477F9"/>
    <w:rsid w:val="14E50393"/>
    <w:rsid w:val="15C67DF6"/>
    <w:rsid w:val="15DB600B"/>
    <w:rsid w:val="171F5012"/>
    <w:rsid w:val="187A00D8"/>
    <w:rsid w:val="1A744958"/>
    <w:rsid w:val="1A7C7F50"/>
    <w:rsid w:val="1AB05FB9"/>
    <w:rsid w:val="1B140288"/>
    <w:rsid w:val="1B264000"/>
    <w:rsid w:val="1CD1424B"/>
    <w:rsid w:val="1DAD7009"/>
    <w:rsid w:val="1DF00F90"/>
    <w:rsid w:val="1E195832"/>
    <w:rsid w:val="1E2B38C8"/>
    <w:rsid w:val="1EC15E82"/>
    <w:rsid w:val="1F024700"/>
    <w:rsid w:val="1FA74A50"/>
    <w:rsid w:val="1FF134BB"/>
    <w:rsid w:val="2077191A"/>
    <w:rsid w:val="212E5742"/>
    <w:rsid w:val="22155872"/>
    <w:rsid w:val="23277F9E"/>
    <w:rsid w:val="23912A0A"/>
    <w:rsid w:val="24077BA2"/>
    <w:rsid w:val="244D5031"/>
    <w:rsid w:val="257552AB"/>
    <w:rsid w:val="257F5FCD"/>
    <w:rsid w:val="25F713A8"/>
    <w:rsid w:val="26184F0D"/>
    <w:rsid w:val="26404A45"/>
    <w:rsid w:val="26790B4E"/>
    <w:rsid w:val="26A03C4A"/>
    <w:rsid w:val="26BE6E78"/>
    <w:rsid w:val="27DB7C76"/>
    <w:rsid w:val="288A56D2"/>
    <w:rsid w:val="2A2170B4"/>
    <w:rsid w:val="2AD6562C"/>
    <w:rsid w:val="2C7A3008"/>
    <w:rsid w:val="2CC94C4A"/>
    <w:rsid w:val="2CE34D7D"/>
    <w:rsid w:val="2E883A48"/>
    <w:rsid w:val="2F412B64"/>
    <w:rsid w:val="2F9634F8"/>
    <w:rsid w:val="2FD34E40"/>
    <w:rsid w:val="308F2B68"/>
    <w:rsid w:val="30B05F05"/>
    <w:rsid w:val="31A14520"/>
    <w:rsid w:val="325B6037"/>
    <w:rsid w:val="325D51EC"/>
    <w:rsid w:val="33405DAC"/>
    <w:rsid w:val="33DF030D"/>
    <w:rsid w:val="33E80E7C"/>
    <w:rsid w:val="35C1560D"/>
    <w:rsid w:val="363E586D"/>
    <w:rsid w:val="36F760D0"/>
    <w:rsid w:val="372E2AF9"/>
    <w:rsid w:val="37726E1F"/>
    <w:rsid w:val="37FB46F4"/>
    <w:rsid w:val="382C624C"/>
    <w:rsid w:val="38365D03"/>
    <w:rsid w:val="391033BA"/>
    <w:rsid w:val="39B93779"/>
    <w:rsid w:val="3AF13381"/>
    <w:rsid w:val="3AFF6A34"/>
    <w:rsid w:val="3B5924A3"/>
    <w:rsid w:val="3C5D1AF8"/>
    <w:rsid w:val="3C8E2C30"/>
    <w:rsid w:val="3D756CF4"/>
    <w:rsid w:val="3D7967DF"/>
    <w:rsid w:val="3E7010DE"/>
    <w:rsid w:val="3EAB5CC8"/>
    <w:rsid w:val="3FDA544F"/>
    <w:rsid w:val="3FDE5383"/>
    <w:rsid w:val="40C72E81"/>
    <w:rsid w:val="427F2E82"/>
    <w:rsid w:val="44157076"/>
    <w:rsid w:val="44511A9E"/>
    <w:rsid w:val="4552760B"/>
    <w:rsid w:val="457D1C61"/>
    <w:rsid w:val="463D62A6"/>
    <w:rsid w:val="46F53F15"/>
    <w:rsid w:val="47787EF5"/>
    <w:rsid w:val="497A378F"/>
    <w:rsid w:val="4BA96E07"/>
    <w:rsid w:val="4BBD2E4F"/>
    <w:rsid w:val="4C1D495B"/>
    <w:rsid w:val="4D090589"/>
    <w:rsid w:val="4DBC35DF"/>
    <w:rsid w:val="4E477394"/>
    <w:rsid w:val="4E7E6010"/>
    <w:rsid w:val="4F1306E8"/>
    <w:rsid w:val="4F7D5C06"/>
    <w:rsid w:val="4F960D05"/>
    <w:rsid w:val="509E2696"/>
    <w:rsid w:val="514800FA"/>
    <w:rsid w:val="518E5EE7"/>
    <w:rsid w:val="51B9200A"/>
    <w:rsid w:val="51E23FF4"/>
    <w:rsid w:val="522272D4"/>
    <w:rsid w:val="52AD585D"/>
    <w:rsid w:val="536554BD"/>
    <w:rsid w:val="54C36B10"/>
    <w:rsid w:val="55071DB7"/>
    <w:rsid w:val="552B45E2"/>
    <w:rsid w:val="5540265A"/>
    <w:rsid w:val="55A00FFA"/>
    <w:rsid w:val="55B06167"/>
    <w:rsid w:val="57F31731"/>
    <w:rsid w:val="58351FAB"/>
    <w:rsid w:val="58466FCB"/>
    <w:rsid w:val="587A4486"/>
    <w:rsid w:val="58E706FE"/>
    <w:rsid w:val="59927419"/>
    <w:rsid w:val="5A6E407A"/>
    <w:rsid w:val="5AD94A28"/>
    <w:rsid w:val="5B063EB2"/>
    <w:rsid w:val="5B09111D"/>
    <w:rsid w:val="5C315379"/>
    <w:rsid w:val="5D7A33E9"/>
    <w:rsid w:val="5DFF0DC2"/>
    <w:rsid w:val="5E896C77"/>
    <w:rsid w:val="5F3E62BF"/>
    <w:rsid w:val="602F07C0"/>
    <w:rsid w:val="60746A49"/>
    <w:rsid w:val="611F7D37"/>
    <w:rsid w:val="61712C70"/>
    <w:rsid w:val="618B750E"/>
    <w:rsid w:val="621D25A2"/>
    <w:rsid w:val="628B5ADF"/>
    <w:rsid w:val="638A5739"/>
    <w:rsid w:val="64F4693C"/>
    <w:rsid w:val="64F6142F"/>
    <w:rsid w:val="651E4DF0"/>
    <w:rsid w:val="666351EC"/>
    <w:rsid w:val="66BE7469"/>
    <w:rsid w:val="69AE5012"/>
    <w:rsid w:val="69B93A27"/>
    <w:rsid w:val="6B5F1DF0"/>
    <w:rsid w:val="6BAE6874"/>
    <w:rsid w:val="6BD36FE8"/>
    <w:rsid w:val="6C6A4605"/>
    <w:rsid w:val="6DF224AA"/>
    <w:rsid w:val="6EED4088"/>
    <w:rsid w:val="70C26FB3"/>
    <w:rsid w:val="70D16A92"/>
    <w:rsid w:val="71A60683"/>
    <w:rsid w:val="727E02EB"/>
    <w:rsid w:val="72F1405A"/>
    <w:rsid w:val="74F45525"/>
    <w:rsid w:val="7554764F"/>
    <w:rsid w:val="75ED37D5"/>
    <w:rsid w:val="75F44E35"/>
    <w:rsid w:val="769522C9"/>
    <w:rsid w:val="776E7761"/>
    <w:rsid w:val="77CE31F8"/>
    <w:rsid w:val="788C03D9"/>
    <w:rsid w:val="788C134D"/>
    <w:rsid w:val="79751263"/>
    <w:rsid w:val="79C12E9A"/>
    <w:rsid w:val="7A486FD3"/>
    <w:rsid w:val="7B190197"/>
    <w:rsid w:val="7B990AA9"/>
    <w:rsid w:val="7CE243B7"/>
    <w:rsid w:val="7E222B1C"/>
    <w:rsid w:val="7E382A2D"/>
    <w:rsid w:val="7E833144"/>
    <w:rsid w:val="7FB20C56"/>
    <w:rsid w:val="7FBE6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引文目录1"/>
    <w:basedOn w:val="1"/>
    <w:next w:val="1"/>
    <w:qFormat/>
    <w:uiPriority w:val="0"/>
    <w:pPr>
      <w:ind w:left="420" w:leftChars="200"/>
    </w:p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3060</Words>
  <Characters>3127</Characters>
  <Lines>8</Lines>
  <Paragraphs>2</Paragraphs>
  <TotalTime>0</TotalTime>
  <ScaleCrop>false</ScaleCrop>
  <LinksUpToDate>false</LinksUpToDate>
  <CharactersWithSpaces>3133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2021-09-10T05:52:00Z</dcterms:created>
  <dc:creator>钱哲贤</dc:creator>
  <cp:lastModifiedBy>钱哲贤</cp:lastModifiedBy>
  <cp:lastPrinted>2022-07-12T01:20:00Z</cp:lastPrinted>
  <dcterms:modified xsi:type="dcterms:W3CDTF">2025-02-24T01:12:41Z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B4AEC19A34B8488E9B276B1F92E4A946</vt:lpwstr>
  </property>
  <property fmtid="{D5CDD505-2E9C-101B-9397-08002B2CF9AE}" pid="4" name="_KSOProductBuildMID">
    <vt:lpwstr>CAWMK6GK79UQ06HGQAR80L0S7NL0OAYRQE0XLJDWXFBRTG5TZDBJQC0EFY5HPFRRXNMXCOL0ZH5D8LNJQOFTVF8H8RN0WILBBSODYHB3EF51709320A25AC309895686B007AF19</vt:lpwstr>
  </property>
  <property fmtid="{D5CDD505-2E9C-101B-9397-08002B2CF9AE}" pid="5" name="_KSOProductBuildSID">
    <vt:lpwstr>890856BDA3674DF4851D6D9C2B2F8195</vt:lpwstr>
  </property>
</Properties>
</file>