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I6GC79UQ05HGRVR80LJM7NN0OYYRQE0XHJDWXF8RTQWT6MBJQC0HFSVHPD6RXUM6EOZ8ZI6D8HEJQSFTYF8C8RLMWLLB8FOOYHB353D055369543AC2D7A97DFDE4E107B1F" Type="http://schemas.microsoft.com/office/2006/relationships/officeDocumentMain" Target="docProps/core.xml"/><Relationship Id="DPWF06GQ79VA0V9G9ZR8RLJZ7NNMOYPREE0XHJDWXFM8TQLT6DBRVCJGFYYTP8RRXJM6OOZMZIW78MXJROFTYF8D89Q0WOWB8UOOKHB32CEDA245ED3DE2391871E43C5A19D27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南银理财珠联璧合鑫逸稳一年205期封闭式公募人民币理财产品发行公告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南银理财珠联璧合鑫逸稳一年205期封闭式公募人民币理财产品（产品登记编码：Z7003225000032）已于2025年02月25日结束募集，符合产品成立条件，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于2025年02月26日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成立。该产品募集金额2,558,792,315.00元，理财资金将按产品说明书约定进行投资。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2025年02月27日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CYWFI6GC79UQ05HGRVR80LJM7NN0OYYRQE0XHJDWXF8RTQWT6MBJQC0HFSVHPD6RXUM6EOZ8ZI6D8HEJQSFTYF8C8RLMWLLB8FOOYHB353D055369543AC2D7A97DFDE4E107B1F</vt:lpwstr>
  </property>
  <property fmtid="{D5CDD505-2E9C-101B-9397-08002B2CF9AE}" pid="5" name="_KSOProductBuildSID">
    <vt:lpwstr>9B14892C6C19491C89757FE3AF5CB870</vt:lpwstr>
  </property>
</Properties>
</file>