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KWMP6GC7RYA0VHGRQRNRL0S7ZC0OAPREJ0XHJDWXGPRTE5TZMBJIC0EFYRTPFRRBOMX9OZFZH5D8PNJQEFTIF8Q8RLMWOWB8UOOZHB31467BA18FE1D83B1D6187B38059816A3" Type="http://schemas.microsoft.com/office/2006/relationships/officeDocumentMain" Target="docProps/core.xml"/><Relationship Id="SZWM86GP7RRQ069GRPRNRLJF7ZQ0OSGR9X0XOJDWXFG8TQLT6IBJICJGFY5TPC8RBFMXEOLSZIW78LJJRUFTPF8Q8RZ0WILB8FOODHB345DF486479B46FF75860DB1DFBF22154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南银理财珠联璧合理财管理计划2号公募人民币理财产品（Z10030）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2025年02月26日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南银理财理财管理计划2号-财富（产品登记编码Z7003220000004，内部销售代码Z10030）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2021年01月14日，于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2025年02月20日至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2025年02月26日开放申购/赎回。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2025-02-27至2025-03-05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2025-03-05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2025-03-06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2025-02-26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1.1021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1.1287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1.1021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1.1021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1.41%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2025-02-20至2025-02-26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1.1018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1.1284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1.1018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1.1018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1.42%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2025-02-13至2025-02-19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1.1015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1.1281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1.1015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1.1015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2.84%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2025-02-06至2025-02-12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2025年02月27日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SKWMP6GC7RYA0VHGRQRNRL0S7ZC0OAPREJ0XHJDWXGPRTE5TZMBJIC0EFYRTPFRRBOMX9OZFZH5D8PNJQEFTIF8Q8RLMWOWB8UOOZHB31467BA18FE1D83B1D6187B38059816A3</vt:lpwstr>
  </property>
  <property fmtid="{D5CDD505-2E9C-101B-9397-08002B2CF9AE}" pid="5" name="_KSOProductBuildSID">
    <vt:lpwstr>F85A06BFEDE8451BA99CB423FB1A2555</vt:lpwstr>
  </property>
</Properties>
</file>