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KWMD6BU7R9Q05BGRVR8QL0J7NL0OXGR9J06FJDWXFGRTDLT6DBR6C0IFS6TPBRRXUMX9OL5ZIXD8LNJQFFTPFFX8RN0WOLB8JOO0HB3AB96B3EC210623A5CBBECA20D77D05E6" Type="http://schemas.microsoft.com/office/2006/relationships/officeDocumentMain" Target="docProps/core.xml"/><Relationship Id="CYWFI6GC79VA059GQYR8YLJM7NZMOXVR9U0XWJDWXFFRTE5TN0BJICJVFYYHPB6RBSMX5OLIZIA78LJJQNFTQF8H8RM0WIWBAOODQHB387CBFDB61BAEC1D548A95BAA84E8F165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南银理财珠联璧合鑫逸稳半年104期封闭式公募人民币理财产品发行公告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南银理财珠联璧合鑫逸稳半年104期封闭式公募人民币理财产品（产品登记编码：Z7003224000271）已于2024年12月17日结束募集，符合产品成立条件，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于2024年12月18日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成立。该产品募集金额226,382,679.00元，理财资金将按产品说明书约定进行投资。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2024年12月19日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SKWMD6BU7R9Q05BGRVR8QL0J7NL0OXGR9J06FJDWXFGRTDLT6DBR6C0IFS6TPBRRXUMX9OL5ZIXD8LNJQFFTPFFX8RN0WOLB8JOO0HB3AB96B3EC210623A5CBBECA20D77D05E6</vt:lpwstr>
  </property>
  <property fmtid="{D5CDD505-2E9C-101B-9397-08002B2CF9AE}" pid="5" name="_KSOProductBuildSID">
    <vt:lpwstr>CYWFI6GC79VA059GQYR8YLJM7NZMOXVR9U0XWJDWXFFRTE5TN0BJICJVFYYHPB6RBSMX5OLIZIA78LJJQNFTQF8H8RM0WIWBAOODQHB387CBFDB61BAEC1D548A95BAA84E8F165</vt:lpwstr>
  </property>
</Properties>
</file>