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PWMY6GJ79UA0THGRPRNQLJZ7NM0OSGR9X0XWJDWXGPRTGLTZ7BJICJ7FSTTPDIRBXM6COLHZI7D8MJJRXFARF8Q89Q0WIWB8UOODHB3A1E6FA9133A31C90DE981D95E1F42DD1" Type="http://schemas.microsoft.com/office/2006/relationships/officeDocumentMain" Target="docProps/core.xml"/><Relationship Id="SYWMI6BT7R9Q05HGQYR8PL0R7ZQ0OAPREF0XOJDWXFGRTQ5T6DBR6CJAFYRTPC6RBSM6EOL5ZHK78PNJQJFAQFFA8RMMWICB8FODYHB385AEB4991E8DBA6B1005DCA3CBDB2A42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南银理财珠联璧合鑫逸稳半年77期封闭式公募人民币理财产品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南银理财珠联璧合鑫逸稳半年77期封闭式公募人民币理财产品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ZZ700322400190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Z7003224000100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2024年06月05日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2024年12月18日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Y70077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4,126,031.10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Y71077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2,731,496.98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Y72077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188,530.61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51,549.47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592,113.27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94,454.02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456,720.05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2024年12月18日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CPWMY6GJ79UA0THGRPRNQLJZ7NM0OSGR9X0XWJDWXGPRTGLTZ7BJICJ7FSTTPDIRBXM6COLHZI7D8MJJRXFARF8Q89Q0WIWB8UOODHB3A1E6FA9133A31C90DE981D95E1F42DD1</vt:lpwstr>
  </property>
  <property fmtid="{D5CDD505-2E9C-101B-9397-08002B2CF9AE}" pid="5" name="_KSOProductBuildSID">
    <vt:lpwstr>C4FCED75E368443C953BFD4E85C1765B</vt:lpwstr>
  </property>
</Properties>
</file>