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CGWMK6BW79UA00BGRPR8PL0R7NMMOXGREO06WJDWXFBRTGCTZIBRVC0PFSUTPBRRBSMXHOLJZH5D8INJRJFA0FFT89CMWH5BAXODDHB36F7ED69A40ABD2E0752E3FC13D5FC95B" Type="http://schemas.microsoft.com/office/2006/relationships/officeDocumentMain" Target="docProps/core.xml"/><Relationship Id="SAWMR6GK79UA05HG9GR8YLJM7ZC0OAPREJ06FJDWXFM8TFCTZIBRVCJWFYSTPB6RXNMXCOZ8ZHJD8IJJQEFTKFFU8RN0WOLBBSOORHB3D4E3D6D1A80CABD32A9FC0CC65A6F895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南银理财珠联璧合鑫逸稳两年48期封闭式公募人民币理财产品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南银理财珠联璧合鑫逸稳两年48期封闭式公募人民币理财产品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ZZ700322303577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Y60048、Y61048、Y62048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2023年11月22日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2024年12月16日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2024年12月16日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盐城市城镇化建设投资集团有限公司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中信信托·兴邦90号固定收益类信托计划第3期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347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每季一次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2024年12月17日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