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K6BW7RRQ00TGQKR8ML0Y7N8MOXPREJ06XJDWXFFRTQCTZ6BR6C0CFY5HPD6RXXM6EOLSZI6D8INJEFFTIFFU8RNMWILBBJOOQHB36F89AAA052686E22C362C7E545F24561" Type="http://schemas.microsoft.com/office/2006/relationships/officeDocumentMain" Target="docProps/core.xml"/><Relationship Id="SYWFY6GP796Q06TGQPRNRLJ87ZC0O7GR9F0XFJDWXFF8TG5TZ0BJQC0CFYRTPBRRBFM6EOZNZI7D8IJJRUFTDFF689QMWHCBANODYHB3C1846EFBBD9B83B1A3E8D84B1691D42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南银理财珠联璧合鑫逸稳半年103期封闭式公募人民币理财产品（产品登记编码：Z7003224000264）已于2024年12月10日结束募集，符合产品成立条件，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成立。该产品募集金额233,723,865.00元，理财资金将按产品说明书约定进行投资。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SZWMK6BW7RRQ00TGQKR8ML0Y7N8MOXPREJ06XJDWXFFRTQCTZ6BR6C0CFY5HPD6RXXM6EOLSZI6D8INJEFFTIFFU8RNMWILBBJOOQHB36F89AAA052686E22C362C7E545F24561</vt:lpwstr>
  </property>
  <property fmtid="{D5CDD505-2E9C-101B-9397-08002B2CF9AE}" pid="5" name="_KSOProductBuildSID">
    <vt:lpwstr>CA513FBEC8F447C1BF31BDF02B27C2DB</vt:lpwstr>
  </property>
</Properties>
</file>