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YWFP6BV7RYQ00HGRKR8ZLJ87N8MOSYREJ0XLJDWXFF8TG5TZ7BR6CJVFSTTPDRRXEM6EOLIZI678PNJRXFTKFFU8RMMWLLB8XOODHB390358312D195719B7036C7C90991B2CE" Type="http://schemas.microsoft.com/office/2006/relationships/officeDocumentMain" Target="docProps/core.xml"/><Relationship Id="CPWFY6GH796Q00BGQZRNRLJ87ZEMOXYR9X0XHJDWXFB8TQCT66BR6CJFFYRHPBIRAUMXHOZNZI678HEJQOFTKFFU8RM0WHWBBJOODHB371E2C0D5C8EE61EB21942753A439DA83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南银理财珠联璧合鑫逸稳三个月59期封闭式公募人民币理财产品发行公告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南银理财珠联璧合鑫逸稳三个月59期封闭式公募人民币理财产品（产品登记编码：Z7003224000240）已于2024年11月26日结束募集，符合产品成立条件，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于2024年11月27日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成立。该产品募集金额1,379,724,750.00元，理财资金将按产品说明书约定进行投资。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2024年11月28日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SYWFP6BV7RYQ00HGRKR8ZLJ87N8MOSYREJ0XLJDWXFF8TG5TZ7BR6CJVFSTTPDRRXEM6EOLIZI678PNJRXFTKFFU8RMMWLLB8XOODHB390358312D195719B7036C7C90991B2CE</vt:lpwstr>
  </property>
  <property fmtid="{D5CDD505-2E9C-101B-9397-08002B2CF9AE}" pid="5" name="_KSOProductBuildSID">
    <vt:lpwstr>1A61BABEF6E9432F982087F976746085</vt:lpwstr>
  </property>
</Properties>
</file>