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D6GQ796A06BGRYR8ILJM7NMMOSGREE06FJDWXF88TQWTNRBR6CJTFSTTP8IRBOMXNOLHZI7D8PXJQUFA0FFZ89QMWOWBANODRHB3345016DDCF7FDB083EF31BB8154392FE" Type="http://schemas.microsoft.com/office/2006/relationships/officeDocumentMain" Target="docProps/core.xml"/><Relationship Id="SKWF06BW7RRQ06TGRKRNYLJM7NMMOSGR9E0XWJDWXFFRTELTZDBR6C0PFY5TPBRRXXMXOOL0ZIX78HNJRSFA0F8H89QMWLCBAEODQHB378EDC9004EB1155AA3B453A2634EFD0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ZZ700322302163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2023年10月11日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20,926,883.50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12,624,534.85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4,140,179.43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229,800.42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3,196,839.93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213,649.99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1,926,982.27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8,900.00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CZWMD6GQ796A06BGRYR8ILJM7NMMOSGREE06FJDWXF88TQWTNRBR6CJTFSTTP8IRBOMXNOLHZI7D8PXJQUFA0FFZ89QMWOWBANODRHB3345016DDCF7FDB083EF31BB8154392FE</vt:lpwstr>
  </property>
  <property fmtid="{D5CDD505-2E9C-101B-9397-08002B2CF9AE}" pid="5" name="_KSOProductBuildSID">
    <vt:lpwstr>BBBA35CA0DA346539A9116574DFFCBBD</vt:lpwstr>
  </property>
</Properties>
</file>