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CYWMY6BW7R9Q00HGRQRNKL007NL0OSGR9E0XOJDWXF8RTELTZ8BJICJGFS6HPB8RXFMXLOL5ZH578INJRUFAQFFV8RMMWMLBANODQHB30080AEEADADA84970F5B0ECADF360D08" Type="http://schemas.microsoft.com/office/2006/relationships/officeDocumentMain" Target="docProps/core.xml"/><Relationship Id="CQWFD6BU79TA05HGRYR8KL0Y7NMMOYVREJ06TJDWXGHRTFCT6MBR6CJAFYSHPBRRXEM6COLKZH578IJJROFTDF8C89EMWOWBAXOOZHB38B750C12C35E6C1801A5572651BD2F1D"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pBdr>
        <w:spacing w:line="0" w:lineRule="atLeast"/>
        <w:jc w:val="center"/>
        <w:rPr>
          <w:rFonts w:ascii="方正黑体_GBK" w:hAnsi="方正黑体_GBK" w:eastAsia="方正黑体_GBK"/>
          <w:b/>
          <w:bCs/>
          <w:vanish w:val="0"/>
          <w:kern w:val="0"/>
          <w:sz w:val="24"/>
          <w:szCs w:val="24"/>
        </w:rPr>
      </w:pPr>
      <w:r>
        <w:rPr>
          <w:rFonts w:hint="eastAsia" w:ascii="方正黑体_GBK" w:hAnsi="方正黑体_GBK" w:eastAsia="方正黑体_GBK"/>
          <w:b/>
          <w:bCs/>
          <w:vanish w:val="0"/>
          <w:kern w:val="0"/>
          <w:sz w:val="24"/>
          <w:szCs w:val="24"/>
        </w:rPr>
        <w:t>理财产品风险揭示书</w:t>
      </w:r>
    </w:p>
    <w:p>
      <w:pPr>
        <w:pBdr>
          <w:top w:val="none" w:color="auto" w:sz="0" w:space="0"/>
          <w:left w:val="none" w:color="auto" w:sz="0" w:space="0"/>
          <w:bottom w:val="none" w:color="auto" w:sz="0" w:space="0"/>
          <w:right w:val="none" w:color="auto" w:sz="0" w:space="0"/>
        </w:pBdr>
        <w:spacing w:line="0" w:lineRule="atLeast"/>
        <w:jc w:val="center"/>
        <w:rPr>
          <w:rFonts w:ascii="方正黑体_GBK" w:hAnsi="方正黑体_GBK" w:eastAsia="方正黑体_GBK"/>
          <w:vanish w:val="0"/>
          <w:color w:val="3D3D3D"/>
          <w:kern w:val="0"/>
          <w:sz w:val="18"/>
          <w:szCs w:val="18"/>
        </w:rPr>
      </w:pPr>
      <w:r>
        <w:rPr>
          <w:rFonts w:ascii="方正黑体_GBK" w:hAnsi="方正黑体_GBK" w:eastAsia="方正黑体_GBK"/>
          <w:b/>
          <w:bCs/>
          <w:i/>
          <w:iCs/>
          <w:vanish w:val="0"/>
          <w:kern w:val="0"/>
          <w:sz w:val="24"/>
          <w:szCs w:val="24"/>
          <w:u w:val="single"/>
        </w:rPr>
        <w:t>“</w:t>
      </w:r>
      <w:r>
        <w:rPr>
          <w:rFonts w:hint="eastAsia" w:ascii="方正黑体_GBK" w:hAnsi="方正黑体_GBK" w:eastAsia="方正黑体_GBK" w:cs="Times New Roman"/>
          <w:b/>
          <w:bCs/>
          <w:i/>
          <w:iCs/>
          <w:vanish w:val="0"/>
          <w:kern w:val="0"/>
          <w:sz w:val="24"/>
          <w:szCs w:val="24"/>
          <w:u w:val="single"/>
        </w:rPr>
        <w:t>理财非存款、产品有风险、投资须谨慎</w:t>
      </w:r>
      <w:r>
        <w:rPr>
          <w:rFonts w:ascii="方正黑体_GBK" w:hAnsi="方正黑体_GBK" w:eastAsia="方正黑体_GBK"/>
          <w:b/>
          <w:bCs/>
          <w:i/>
          <w:iCs/>
          <w:vanish w:val="0"/>
          <w:kern w:val="0"/>
          <w:sz w:val="24"/>
          <w:szCs w:val="24"/>
          <w:u w:val="single"/>
        </w:rPr>
        <w:t>”</w:t>
      </w:r>
      <w:r>
        <w:rPr>
          <w:rFonts w:hint="eastAsia" w:ascii="方正黑体_GBK" w:hAnsi="方正黑体_GBK" w:eastAsia="方正黑体_GBK"/>
          <w:b/>
          <w:bCs/>
          <w:i/>
          <w:iCs/>
          <w:vanish w:val="0"/>
          <w:kern w:val="0"/>
          <w:sz w:val="24"/>
          <w:szCs w:val="24"/>
          <w:u w:val="singl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hint="eastAsia" w:ascii="方正黑体_GBK" w:hAnsi="方正黑体_GBK" w:eastAsia="方正黑体_GBK" w:cs="Times New Roman"/>
          <w:b/>
          <w:bCs w:val="0"/>
          <w:vanish w:val="0"/>
          <w:color w:val="3D3D3D"/>
          <w:kern w:val="0"/>
          <w:sz w:val="13"/>
          <w:szCs w:val="13"/>
        </w:rPr>
      </w:pPr>
      <w:r>
        <w:rPr>
          <w:rFonts w:hint="eastAsia" w:ascii="方正黑体_GBK" w:hAnsi="方正黑体_GBK" w:eastAsia="方正黑体_GBK"/>
          <w:b/>
          <w:bCs w:val="0"/>
          <w:vanish w:val="0"/>
          <w:color w:val="3D3D3D"/>
          <w:kern w:val="0"/>
          <w:sz w:val="13"/>
          <w:szCs w:val="13"/>
        </w:rPr>
        <w:t>本理财产品是</w:t>
      </w:r>
      <w:r>
        <w:rPr>
          <w:rFonts w:hint="eastAsia" w:ascii="方正黑体_GBK" w:hAnsi="方正黑体_GBK" w:eastAsia="方正黑体_GBK"/>
          <w:b/>
          <w:bCs w:val="0"/>
          <w:i/>
          <w:iCs/>
          <w:vanish w:val="0"/>
          <w:color w:val="3D3D3D"/>
          <w:kern w:val="0"/>
          <w:sz w:val="20"/>
          <w:szCs w:val="20"/>
          <w:u w:val="single"/>
        </w:rPr>
        <w:t>开放式、固定收益类、公募、净值型</w:t>
      </w:r>
      <w:r>
        <w:rPr>
          <w:rFonts w:hint="eastAsia" w:ascii="方正黑体_GBK" w:hAnsi="方正黑体_GBK" w:eastAsia="方正黑体_GBK"/>
          <w:b/>
          <w:bCs w:val="0"/>
          <w:vanish w:val="0"/>
          <w:color w:val="3D3D3D"/>
          <w:kern w:val="0"/>
          <w:sz w:val="13"/>
          <w:szCs w:val="13"/>
        </w:rPr>
        <w:t>理财产品，</w:t>
      </w:r>
      <w:r>
        <w:rPr>
          <w:rFonts w:hint="eastAsia" w:ascii="方正黑体_GBK" w:hAnsi="方正黑体_GBK" w:eastAsia="方正黑体_GBK" w:cs="Times New Roman"/>
          <w:b/>
          <w:bCs w:val="0"/>
          <w:i/>
          <w:iCs/>
          <w:vanish w:val="0"/>
          <w:color w:val="3D3D3D"/>
          <w:kern w:val="0"/>
          <w:sz w:val="20"/>
          <w:szCs w:val="20"/>
          <w:u w:val="single"/>
        </w:rPr>
        <w:t>不保证本金和收益</w:t>
      </w:r>
      <w:r>
        <w:rPr>
          <w:rFonts w:hint="eastAsia" w:ascii="方正黑体_GBK" w:hAnsi="方正黑体_GBK" w:eastAsia="方正黑体_GBK"/>
          <w:b/>
          <w:bCs w:val="0"/>
          <w:vanish w:val="0"/>
          <w:color w:val="3D3D3D"/>
          <w:kern w:val="0"/>
          <w:sz w:val="13"/>
          <w:szCs w:val="13"/>
        </w:rPr>
        <w:t>，您（以下或称为</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投资者</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）的本金与收益可能会蒙受</w:t>
      </w:r>
      <w:r>
        <w:rPr>
          <w:rFonts w:hint="eastAsia" w:ascii="方正黑体_GBK" w:hAnsi="方正黑体_GBK" w:eastAsia="方正黑体_GBK" w:cs="Times New Roman"/>
          <w:b/>
          <w:bCs w:val="0"/>
          <w:vanish w:val="0"/>
          <w:color w:val="3D3D3D"/>
          <w:kern w:val="0"/>
          <w:sz w:val="13"/>
          <w:szCs w:val="13"/>
        </w:rPr>
        <w:t>全部或部分</w:t>
      </w:r>
      <w:r>
        <w:rPr>
          <w:rFonts w:hint="eastAsia" w:ascii="方正黑体_GBK" w:hAnsi="方正黑体_GBK" w:eastAsia="方正黑体_GBK"/>
          <w:b/>
          <w:bCs w:val="0"/>
          <w:vanish w:val="0"/>
          <w:color w:val="3D3D3D"/>
          <w:kern w:val="0"/>
          <w:sz w:val="13"/>
          <w:szCs w:val="13"/>
        </w:rPr>
        <w:t>损失，</w:t>
      </w:r>
      <w:r>
        <w:rPr>
          <w:rFonts w:hint="eastAsia" w:ascii="方正黑体_GBK" w:hAnsi="方正黑体_GBK" w:eastAsia="方正黑体_GBK" w:cs="Times New Roman"/>
          <w:b/>
          <w:bCs w:val="0"/>
          <w:vanish w:val="0"/>
          <w:color w:val="3D3D3D"/>
          <w:kern w:val="0"/>
          <w:sz w:val="13"/>
          <w:szCs w:val="13"/>
        </w:rPr>
        <w:t>在您选择购买本理财产品前，您应仔细阅读</w:t>
      </w:r>
      <w:r>
        <w:rPr>
          <w:rFonts w:hint="eastAsia" w:ascii="方正黑体_GBK" w:hAnsi="方正黑体_GBK" w:eastAsia="方正黑体_GBK"/>
          <w:b/>
          <w:bCs w:val="0"/>
          <w:vanish w:val="0"/>
          <w:color w:val="3D3D3D"/>
          <w:kern w:val="0"/>
          <w:sz w:val="13"/>
          <w:szCs w:val="13"/>
        </w:rPr>
        <w:t>对应期次的《理财产品风险揭示书》《理财产品说明书》《投资者权益须知》《理财产品销售协议书》</w:t>
      </w:r>
      <w:r>
        <w:rPr>
          <w:rFonts w:hint="eastAsia" w:ascii="方正黑体_GBK" w:hAnsi="方正黑体_GBK" w:eastAsia="方正黑体_GBK" w:cs="Times New Roman"/>
          <w:b/>
          <w:bCs w:val="0"/>
          <w:vanish w:val="0"/>
          <w:color w:val="3D3D3D"/>
          <w:kern w:val="0"/>
          <w:sz w:val="13"/>
          <w:szCs w:val="13"/>
        </w:rPr>
        <w:t>和《理财产品投资协议书》</w:t>
      </w:r>
      <w:r>
        <w:rPr>
          <w:rFonts w:hint="eastAsia" w:ascii="方正黑体_GBK" w:hAnsi="方正黑体_GBK" w:eastAsia="方正黑体_GBK"/>
          <w:b/>
          <w:bCs w:val="0"/>
          <w:vanish w:val="0"/>
          <w:color w:val="3D3D3D"/>
          <w:kern w:val="0"/>
          <w:sz w:val="13"/>
          <w:szCs w:val="13"/>
        </w:rPr>
        <w:t>（以下合称</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理财产品销售文件</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，了解本理财产品信息及详细</w:t>
      </w:r>
      <w:r>
        <w:rPr>
          <w:rFonts w:hint="eastAsia" w:ascii="方正黑体_GBK" w:hAnsi="方正黑体_GBK" w:eastAsia="方正黑体_GBK"/>
          <w:b/>
          <w:bCs w:val="0"/>
          <w:vanish w:val="0"/>
          <w:color w:val="3D3D3D"/>
          <w:kern w:val="0"/>
          <w:sz w:val="13"/>
          <w:szCs w:val="13"/>
        </w:rPr>
        <w:t>条款</w:t>
      </w:r>
      <w:r>
        <w:rPr>
          <w:rFonts w:hint="eastAsia" w:ascii="方正黑体_GBK" w:hAnsi="方正黑体_GBK" w:eastAsia="方正黑体_GBK" w:cs="Times New Roman"/>
          <w:b/>
          <w:bCs w:val="0"/>
          <w:vanish w:val="0"/>
          <w:color w:val="3D3D3D"/>
          <w:kern w:val="0"/>
          <w:sz w:val="13"/>
          <w:szCs w:val="13"/>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ascii="方正黑体_GBK" w:hAnsi="方正黑体_GBK" w:eastAsia="方正黑体_GBK"/>
          <w:b/>
          <w:bCs w:val="0"/>
          <w:vanish w:val="0"/>
          <w:color w:val="3D3D3D"/>
          <w:kern w:val="0"/>
          <w:sz w:val="13"/>
          <w:szCs w:val="13"/>
        </w:rPr>
      </w:pPr>
      <w:r>
        <w:rPr>
          <w:rFonts w:hint="eastAsia" w:ascii="方正黑体_GBK" w:hAnsi="方正黑体_GBK" w:eastAsia="方正黑体_GBK" w:cs="Times New Roman"/>
          <w:b/>
          <w:bCs w:val="0"/>
          <w:vanish w:val="0"/>
          <w:color w:val="3D3D3D"/>
          <w:kern w:val="0"/>
          <w:sz w:val="13"/>
          <w:szCs w:val="13"/>
        </w:rPr>
        <w:t>重要提示：</w:t>
      </w:r>
      <w:r>
        <w:rPr>
          <w:rFonts w:hint="eastAsia" w:ascii="方正黑体_GBK" w:hAnsi="方正黑体_GBK" w:eastAsia="方正黑体_GBK"/>
          <w:b/>
          <w:bCs w:val="0"/>
          <w:vanish w:val="0"/>
          <w:color w:val="3D3D3D"/>
          <w:kern w:val="0"/>
          <w:sz w:val="13"/>
          <w:szCs w:val="13"/>
        </w:rPr>
        <w:t>南银理财有限责任公司（以下简称为</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南银理财</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、“理财产品管理人”、“产品管理人”或“管理人”</w:t>
      </w:r>
      <w:r>
        <w:rPr>
          <w:rFonts w:hint="eastAsia"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ascii="方正黑体_GBK" w:hAnsi="方正黑体_GBK" w:eastAsia="方正黑体_GBK"/>
          <w:b/>
          <w:bCs w:val="0"/>
          <w:vanish w:val="0"/>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ascii="方正黑体_GBK" w:hAnsi="方正黑体_GBK" w:eastAsia="方正黑体_GBK" w:cs="Times New Roman"/>
          <w:b/>
          <w:bCs w:val="0"/>
          <w:vanish w:val="0"/>
          <w:color w:val="3D3D3D"/>
          <w:kern w:val="0"/>
          <w:sz w:val="13"/>
          <w:szCs w:val="13"/>
        </w:rPr>
        <w:t>您应该充分认识本理财产品的投资风险，本着</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充分了解风险，自主选择购买</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的原则，谨慎决策</w:t>
      </w:r>
      <w:r>
        <w:rPr>
          <w:rFonts w:hint="eastAsia" w:ascii="方正黑体_GBK" w:hAnsi="方正黑体_GBK" w:eastAsia="方正黑体_GBK"/>
          <w:b/>
          <w:bCs w:val="0"/>
          <w:vanish w:val="0"/>
          <w:color w:val="3D3D3D"/>
          <w:kern w:val="0"/>
          <w:sz w:val="13"/>
          <w:szCs w:val="13"/>
        </w:rPr>
        <w:t>，自主决定将合法所有的自有资金用于购买本理财产品。理财产品过往业绩不代表其未来表现，不等于理财产品实际收益，</w:t>
      </w:r>
      <w:r>
        <w:rPr>
          <w:rFonts w:hint="eastAsia" w:ascii="方正黑体_GBK" w:hAnsi="方正黑体_GBK" w:eastAsia="方正黑体_GBK" w:cs="Times New Roman"/>
          <w:b/>
          <w:bCs w:val="0"/>
          <w:vanish w:val="0"/>
          <w:color w:val="3D3D3D"/>
          <w:kern w:val="0"/>
          <w:sz w:val="13"/>
          <w:szCs w:val="13"/>
        </w:rPr>
        <w:t>不构成管理人对理财产品业绩表现的保证，</w:t>
      </w:r>
      <w:r>
        <w:rPr>
          <w:rFonts w:hint="eastAsia" w:ascii="方正黑体_GBK" w:hAnsi="方正黑体_GBK" w:eastAsia="方正黑体_GBK"/>
          <w:b/>
          <w:bCs w:val="0"/>
          <w:vanish w:val="0"/>
          <w:color w:val="3D3D3D"/>
          <w:kern w:val="0"/>
          <w:sz w:val="13"/>
          <w:szCs w:val="13"/>
        </w:rPr>
        <w:t>投资须谨慎</w:t>
      </w:r>
      <w:r>
        <w:rPr>
          <w:rFonts w:hint="eastAsia" w:ascii="方正黑体_GBK" w:hAnsi="方正黑体_GBK" w:eastAsia="方正黑体_GBK" w:cs="Times New Roman"/>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在购买本理财产品后，您应随时关注产品的信息披露情况，及时获取相关信息。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b/>
          <w:bCs w:val="0"/>
          <w:vanish w:val="0"/>
          <w:color w:val="3D3D3D"/>
          <w:kern w:val="0"/>
          <w:sz w:val="13"/>
          <w:szCs w:val="13"/>
        </w:rPr>
        <w:t>本风险揭示书列示的风险指理财产品项下可能涉及的风险，包括但不限于：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第一条</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理财产品共性风险提示和管控措施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（一）政策风险：</w:t>
      </w:r>
      <w:r>
        <w:rPr>
          <w:rFonts w:hint="eastAsia" w:ascii="方正黑体_GBK" w:hAnsi="方正黑体_GBK" w:eastAsia="方正黑体_GBK" w:cs="Times New Roman"/>
          <w:vanish w:val="0"/>
          <w:color w:val="3D3D3D"/>
          <w:kern w:val="0"/>
          <w:sz w:val="13"/>
          <w:szCs w:val="13"/>
        </w:rPr>
        <w:t>本</w:t>
      </w:r>
      <w:r>
        <w:rPr>
          <w:rFonts w:hint="eastAsia" w:ascii="方正黑体_GBK" w:hAnsi="方正黑体_GBK" w:eastAsia="方正黑体_GBK"/>
          <w:vanish w:val="0"/>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ascii="方正黑体_GBK" w:hAnsi="方正黑体_GBK" w:eastAsia="方正黑体_GBK" w:cs="Times New Roman"/>
          <w:vanish w:val="0"/>
          <w:color w:val="3D3D3D"/>
          <w:kern w:val="0"/>
          <w:sz w:val="13"/>
          <w:szCs w:val="13"/>
        </w:rPr>
        <w:t>导致</w:t>
      </w:r>
      <w:r>
        <w:rPr>
          <w:rFonts w:hint="eastAsia" w:ascii="方正黑体_GBK" w:hAnsi="方正黑体_GBK" w:eastAsia="方正黑体_GBK"/>
          <w:vanish w:val="0"/>
          <w:color w:val="3D3D3D"/>
          <w:kern w:val="0"/>
          <w:sz w:val="13"/>
          <w:szCs w:val="13"/>
        </w:rPr>
        <w:t>理财产品的收益降低</w:t>
      </w:r>
      <w:r>
        <w:rPr>
          <w:rFonts w:hint="eastAsia" w:ascii="方正黑体_GBK" w:hAnsi="方正黑体_GBK" w:eastAsia="方正黑体_GBK" w:cs="Times New Roman"/>
          <w:vanish w:val="0"/>
          <w:color w:val="3D3D3D"/>
          <w:kern w:val="0"/>
          <w:sz w:val="13"/>
          <w:szCs w:val="13"/>
        </w:rPr>
        <w:t>或无法取得任何收益</w:t>
      </w:r>
      <w:r>
        <w:rPr>
          <w:rFonts w:hint="eastAsia" w:ascii="方正黑体_GBK" w:hAnsi="方正黑体_GBK" w:eastAsia="方正黑体_GBK"/>
          <w:vanish w:val="0"/>
          <w:color w:val="3D3D3D"/>
          <w:kern w:val="0"/>
          <w:sz w:val="13"/>
          <w:szCs w:val="13"/>
        </w:rPr>
        <w:t>甚至本理财产品的本金遭受</w:t>
      </w:r>
      <w:r>
        <w:rPr>
          <w:rFonts w:hint="eastAsia" w:ascii="方正黑体_GBK" w:hAnsi="方正黑体_GBK" w:eastAsia="方正黑体_GBK" w:cs="Times New Roman"/>
          <w:vanish w:val="0"/>
          <w:color w:val="3D3D3D"/>
          <w:kern w:val="0"/>
          <w:sz w:val="13"/>
          <w:szCs w:val="13"/>
        </w:rPr>
        <w:t>部分或全部</w:t>
      </w:r>
      <w:r>
        <w:rPr>
          <w:rFonts w:hint="eastAsia" w:ascii="方正黑体_GBK" w:hAnsi="方正黑体_GBK" w:eastAsia="方正黑体_GBK"/>
          <w:vanish w:val="0"/>
          <w:color w:val="3D3D3D"/>
          <w:kern w:val="0"/>
          <w:sz w:val="13"/>
          <w:szCs w:val="13"/>
        </w:rPr>
        <w:t>损失，也可能导致本理财产品违反国家法律、法规或者其他合同的有关规定，进而导致本理财产品被宣告无效、撤销、解除或提前终止等。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（二）信用风险：</w:t>
      </w:r>
      <w:r>
        <w:rPr>
          <w:rFonts w:hint="eastAsia" w:ascii="方正黑体_GBK" w:hAnsi="方正黑体_GBK" w:eastAsia="方正黑体_GBK" w:cs="Times New Roman"/>
          <w:vanish w:val="0"/>
          <w:color w:val="3D3D3D"/>
          <w:kern w:val="0"/>
          <w:sz w:val="13"/>
          <w:szCs w:val="13"/>
        </w:rPr>
        <w:t>本理财产品收益来源于理财产品项下投资对象的回报。</w:t>
      </w:r>
      <w:r>
        <w:rPr>
          <w:rFonts w:hint="eastAsia" w:ascii="方正黑体_GBK" w:hAnsi="方正黑体_GBK" w:eastAsia="方正黑体_GBK"/>
          <w:vanish w:val="0"/>
          <w:color w:val="3D3D3D"/>
          <w:kern w:val="0"/>
          <w:sz w:val="13"/>
          <w:szCs w:val="13"/>
        </w:rPr>
        <w:t>本理财产品所投资的资产，可能因债务人违约或者其他原因在投资期限届满时不能足额变现，由此可能导致本理财产品的本金及收益遭受损失。</w:t>
      </w:r>
      <w:r>
        <w:rPr>
          <w:rFonts w:hint="eastAsia" w:ascii="方正黑体_GBK" w:hAnsi="方正黑体_GBK" w:eastAsia="方正黑体_GBK" w:cs="Times New Roman"/>
          <w:vanish w:val="0"/>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（三）市场风险：理财产品面临的市场风险主要指因市场各种风险因子变动，使得理财产品配置资产的价格发生波动，导致理财产品本金或收益蒙受损失的风险。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理财产品投资不同类型的资产可能面临的市场风险包括但不限于：</w:t>
      </w:r>
      <w:r>
        <w:rPr>
          <w:rFonts w:ascii="方正黑体_GBK" w:hAnsi="方正黑体_GBK" w:eastAsia="方正黑体_GBK"/>
          <w:vanish w:val="0"/>
          <w:color w:val="3D3D3D"/>
          <w:kern w:val="0"/>
          <w:sz w:val="13"/>
          <w:szCs w:val="13"/>
        </w:rPr>
        <w:t>1.</w:t>
      </w:r>
      <w:r>
        <w:rPr>
          <w:rFonts w:hint="eastAsia" w:ascii="方正黑体_GBK" w:hAnsi="方正黑体_GBK" w:eastAsia="方正黑体_GBK"/>
          <w:vanish w:val="0"/>
          <w:color w:val="3D3D3D"/>
          <w:kern w:val="0"/>
          <w:sz w:val="13"/>
          <w:szCs w:val="13"/>
        </w:rPr>
        <w:t>理财产品投资债券等固定收益率资产将面临利率、汇率变化等市场风险以及债券价格波动风险；</w:t>
      </w:r>
      <w:r>
        <w:rPr>
          <w:rFonts w:ascii="方正黑体_GBK" w:hAnsi="方正黑体_GBK" w:eastAsia="方正黑体_GBK"/>
          <w:vanish w:val="0"/>
          <w:color w:val="3D3D3D"/>
          <w:kern w:val="0"/>
          <w:sz w:val="13"/>
          <w:szCs w:val="13"/>
        </w:rPr>
        <w:t>2.</w:t>
      </w:r>
      <w:r>
        <w:rPr>
          <w:rFonts w:hint="eastAsia" w:ascii="方正黑体_GBK" w:hAnsi="方正黑体_GBK" w:eastAsia="方正黑体_GBK"/>
          <w:vanish w:val="0"/>
          <w:color w:val="3D3D3D"/>
          <w:kern w:val="0"/>
          <w:sz w:val="13"/>
          <w:szCs w:val="13"/>
        </w:rPr>
        <w:t>理财产品投资股票等权益类资产将面临股票价格波动风险和股票发行人的经营风险、管理风险等风险；</w:t>
      </w:r>
      <w:r>
        <w:rPr>
          <w:rFonts w:ascii="方正黑体_GBK" w:hAnsi="方正黑体_GBK" w:eastAsia="方正黑体_GBK"/>
          <w:vanish w:val="0"/>
          <w:color w:val="3D3D3D"/>
          <w:kern w:val="0"/>
          <w:sz w:val="13"/>
          <w:szCs w:val="13"/>
        </w:rPr>
        <w:t>3.</w:t>
      </w:r>
      <w:r>
        <w:rPr>
          <w:rFonts w:hint="eastAsia" w:ascii="方正黑体_GBK" w:hAnsi="方正黑体_GBK" w:eastAsia="方正黑体_GBK"/>
          <w:vanish w:val="0"/>
          <w:color w:val="3D3D3D"/>
          <w:kern w:val="0"/>
          <w:sz w:val="13"/>
          <w:szCs w:val="13"/>
        </w:rPr>
        <w:t>理财产品投资商品及金融衍生品类产品可能面临衍生品公允价值变化风险</w:t>
      </w:r>
      <w:r>
        <w:rPr>
          <w:rFonts w:hint="eastAsia" w:ascii="方正黑体_GBK" w:hAnsi="方正黑体_GBK" w:eastAsia="方正黑体_GBK" w:cs="Times New Roman"/>
          <w:vanish w:val="0"/>
          <w:color w:val="3D3D3D"/>
          <w:kern w:val="0"/>
          <w:sz w:val="13"/>
          <w:szCs w:val="13"/>
        </w:rPr>
        <w:t>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w:t>
      </w:r>
      <w:r>
        <w:rPr>
          <w:rFonts w:hint="eastAsia" w:ascii="方正黑体_GBK" w:hAnsi="方正黑体_GBK" w:eastAsia="方正黑体_GBK" w:cs="Times New Roman"/>
          <w:vanish w:val="0"/>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ascii="方正黑体_GBK" w:hAnsi="方正黑体_GBK" w:eastAsia="方正黑体_GBK"/>
          <w:vanish w:val="0"/>
          <w:color w:val="3D3D3D"/>
          <w:kern w:val="0"/>
          <w:sz w:val="13"/>
          <w:szCs w:val="13"/>
        </w:rPr>
        <w:t>当市场上出现更高收益的产品时，将有可能</w:t>
      </w:r>
      <w:r>
        <w:rPr>
          <w:rFonts w:hint="eastAsia" w:ascii="方正黑体_GBK" w:hAnsi="方正黑体_GBK" w:eastAsia="方正黑体_GBK" w:cs="Times New Roman"/>
          <w:vanish w:val="0"/>
          <w:color w:val="3D3D3D"/>
          <w:kern w:val="0"/>
          <w:sz w:val="13"/>
          <w:szCs w:val="13"/>
        </w:rPr>
        <w:t>导致投资者</w:t>
      </w:r>
      <w:r>
        <w:rPr>
          <w:rFonts w:hint="eastAsia" w:ascii="方正黑体_GBK" w:hAnsi="方正黑体_GBK" w:eastAsia="方正黑体_GBK"/>
          <w:vanish w:val="0"/>
          <w:color w:val="3D3D3D"/>
          <w:kern w:val="0"/>
          <w:sz w:val="13"/>
          <w:szCs w:val="13"/>
        </w:rPr>
        <w:t>因此丧失其他投资机会。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（八）</w:t>
      </w:r>
      <w:r>
        <w:rPr>
          <w:rFonts w:hint="eastAsia" w:ascii="方正黑体_GBK" w:hAnsi="方正黑体_GBK" w:eastAsia="方正黑体_GBK" w:cs="Times New Roman"/>
          <w:vanish w:val="0"/>
          <w:color w:val="3D3D3D"/>
          <w:kern w:val="0"/>
          <w:sz w:val="13"/>
          <w:szCs w:val="13"/>
        </w:rPr>
        <w:t>理财</w:t>
      </w:r>
      <w:r>
        <w:rPr>
          <w:rFonts w:hint="eastAsia" w:ascii="方正黑体_GBK" w:hAnsi="方正黑体_GBK" w:eastAsia="方正黑体_GBK"/>
          <w:vanish w:val="0"/>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ascii="方正黑体_GBK" w:hAnsi="方正黑体_GBK" w:eastAsia="方正黑体_GBK" w:cs="Times New Roman"/>
          <w:vanish w:val="0"/>
          <w:color w:val="3D3D3D"/>
          <w:kern w:val="0"/>
          <w:sz w:val="13"/>
          <w:szCs w:val="13"/>
        </w:rPr>
        <w:t>（或通过销售机构通知）</w:t>
      </w:r>
      <w:r>
        <w:rPr>
          <w:rFonts w:hint="eastAsia" w:ascii="方正黑体_GBK" w:hAnsi="方正黑体_GBK" w:eastAsia="方正黑体_GBK"/>
          <w:vanish w:val="0"/>
          <w:color w:val="3D3D3D"/>
          <w:kern w:val="0"/>
          <w:sz w:val="13"/>
          <w:szCs w:val="13"/>
        </w:rPr>
        <w:t>理财产品不成立且不承担任何违约责任，投资者将面临再投资风险。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（九）延期分配风险：如因理财产品投资的资产</w:t>
      </w:r>
      <w:r>
        <w:rPr>
          <w:rFonts w:hint="eastAsia" w:ascii="方正黑体_GBK" w:hAnsi="方正黑体_GBK" w:eastAsia="方正黑体_GBK" w:cs="Times New Roman"/>
          <w:vanish w:val="0"/>
          <w:color w:val="3D3D3D"/>
          <w:kern w:val="0"/>
          <w:sz w:val="13"/>
          <w:szCs w:val="13"/>
        </w:rPr>
        <w:t>市场流动性不足或受限导致未能正常买卖结算，或投资资产正常到期，投资资产相关发行人或融资主体未能及时偿付本息，所投资工具</w:t>
      </w:r>
      <w:r>
        <w:rPr>
          <w:rFonts w:hint="eastAsia" w:ascii="方正黑体_GBK" w:hAnsi="方正黑体_GBK" w:eastAsia="方正黑体_GBK"/>
          <w:vanish w:val="0"/>
          <w:color w:val="3D3D3D"/>
          <w:kern w:val="0"/>
          <w:sz w:val="13"/>
          <w:szCs w:val="13"/>
        </w:rPr>
        <w:t>无法及时变现等原因造成不能按时支付理财产品本金和收益，则投资者面临理财产品期限延期、调整等风险。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w:t>
      </w:r>
      <w:r>
        <w:rPr>
          <w:rFonts w:hint="eastAsia" w:ascii="方正黑体_GBK" w:hAnsi="方正黑体_GBK" w:eastAsia="方正黑体_GBK" w:cs="Times New Roman"/>
          <w:b/>
          <w:bCs/>
          <w:vanish w:val="0"/>
          <w:color w:val="3D3D3D"/>
          <w:kern w:val="0"/>
          <w:sz w:val="13"/>
          <w:szCs w:val="13"/>
        </w:rPr>
        <w:t>者</w:t>
      </w:r>
      <w:r>
        <w:rPr>
          <w:rFonts w:hint="eastAsia" w:ascii="方正黑体_GBK" w:hAnsi="方正黑体_GBK" w:eastAsia="方正黑体_GBK"/>
          <w:b/>
          <w:bCs/>
          <w:vanish w:val="0"/>
          <w:color w:val="3D3D3D"/>
          <w:kern w:val="0"/>
          <w:sz w:val="13"/>
          <w:szCs w:val="13"/>
        </w:rPr>
        <w:t>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南银理财按照对应期次《理财产品说明书》有关条款的约定，发布当期理财产品的运作、到期清算或提前终止等信息公告</w:t>
      </w:r>
      <w:r>
        <w:rPr>
          <w:rFonts w:hint="eastAsia" w:ascii="方正黑体_GBK" w:hAnsi="方正黑体_GBK" w:eastAsia="方正黑体_GBK" w:cs="Times New Roman"/>
          <w:b/>
          <w:bCs/>
          <w:vanish w:val="0"/>
          <w:color w:val="3D3D3D"/>
          <w:kern w:val="0"/>
          <w:sz w:val="13"/>
          <w:szCs w:val="13"/>
        </w:rPr>
        <w:t>或报告</w:t>
      </w:r>
      <w:r>
        <w:rPr>
          <w:rFonts w:hint="eastAsia" w:ascii="方正黑体_GBK" w:hAnsi="方正黑体_GBK" w:eastAsia="方正黑体_GBK"/>
          <w:b/>
          <w:bCs/>
          <w:vanish w:val="0"/>
          <w:color w:val="3D3D3D"/>
          <w:kern w:val="0"/>
          <w:sz w:val="13"/>
          <w:szCs w:val="13"/>
        </w:rPr>
        <w:t>。投资者应根据《理财产品说明书》中约定的</w:t>
      </w:r>
      <w:r>
        <w:rPr>
          <w:rFonts w:hint="eastAsia" w:ascii="方正黑体_GBK" w:hAnsi="方正黑体_GBK" w:eastAsia="方正黑体_GBK" w:cs="Times New Roman"/>
          <w:b/>
          <w:bCs/>
          <w:vanish w:val="0"/>
          <w:color w:val="3D3D3D"/>
          <w:kern w:val="0"/>
          <w:sz w:val="13"/>
          <w:szCs w:val="13"/>
        </w:rPr>
        <w:t>信息披露</w:t>
      </w:r>
      <w:r>
        <w:rPr>
          <w:rFonts w:hint="eastAsia" w:ascii="方正黑体_GBK" w:hAnsi="方正黑体_GBK" w:eastAsia="方正黑体_GBK"/>
          <w:b/>
          <w:bCs/>
          <w:vanish w:val="0"/>
          <w:color w:val="3D3D3D"/>
          <w:kern w:val="0"/>
          <w:sz w:val="13"/>
          <w:szCs w:val="13"/>
        </w:rPr>
        <w:t>渠道及时查询相关信息</w:t>
      </w:r>
      <w:r>
        <w:rPr>
          <w:rFonts w:hint="eastAsia" w:ascii="方正黑体_GBK" w:hAnsi="方正黑体_GBK" w:eastAsia="方正黑体_GBK" w:cs="Times New Roman"/>
          <w:b/>
          <w:bCs/>
          <w:vanish w:val="0"/>
          <w:color w:val="3D3D3D"/>
          <w:kern w:val="0"/>
          <w:sz w:val="13"/>
          <w:szCs w:val="13"/>
        </w:rPr>
        <w:t>，</w:t>
      </w:r>
      <w:r>
        <w:rPr>
          <w:rFonts w:hint="eastAsia" w:ascii="方正黑体_GBK" w:hAnsi="方正黑体_GBK" w:eastAsia="方正黑体_GBK"/>
          <w:b/>
          <w:bCs/>
          <w:vanish w:val="0"/>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ascii="方正黑体_GBK" w:hAnsi="方正黑体_GBK" w:eastAsia="方正黑体_GBK" w:cs="Times New Roman"/>
          <w:b/>
          <w:bCs/>
          <w:vanish w:val="0"/>
          <w:color w:val="3D3D3D"/>
          <w:kern w:val="0"/>
          <w:sz w:val="13"/>
          <w:szCs w:val="13"/>
        </w:rPr>
        <w:t>投资者承担</w:t>
      </w:r>
      <w:r>
        <w:rPr>
          <w:rFonts w:hint="eastAsia" w:ascii="方正黑体_GBK" w:hAnsi="方正黑体_GBK" w:eastAsia="方正黑体_GBK"/>
          <w:b/>
          <w:bCs/>
          <w:vanish w:val="0"/>
          <w:color w:val="3D3D3D"/>
          <w:kern w:val="0"/>
          <w:sz w:val="13"/>
          <w:szCs w:val="13"/>
        </w:rPr>
        <w:t>因此而产生的责任和风险。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（十二）不可抗力及意外事件风险：理财产品面临的不可抗力及意外事件风险是指</w:t>
      </w:r>
      <w:r>
        <w:rPr>
          <w:rFonts w:hint="eastAsia" w:ascii="方正黑体_GBK" w:hAnsi="方正黑体_GBK" w:eastAsia="方正黑体_GBK" w:cs="Times New Roman"/>
          <w:vanish w:val="0"/>
          <w:color w:val="3D3D3D"/>
          <w:kern w:val="0"/>
          <w:sz w:val="13"/>
          <w:szCs w:val="13"/>
        </w:rPr>
        <w:t>《理财产品说明书》规定的不可抗力或</w:t>
      </w:r>
      <w:r>
        <w:rPr>
          <w:rFonts w:hint="eastAsia" w:ascii="方正黑体_GBK" w:hAnsi="方正黑体_GBK" w:eastAsia="方正黑体_GBK"/>
          <w:vanish w:val="0"/>
          <w:color w:val="3D3D3D"/>
          <w:kern w:val="0"/>
          <w:sz w:val="13"/>
          <w:szCs w:val="13"/>
        </w:rPr>
        <w:t>南银理财、</w:t>
      </w:r>
      <w:r>
        <w:rPr>
          <w:rFonts w:hint="eastAsia" w:ascii="方正黑体_GBK" w:hAnsi="方正黑体_GBK" w:eastAsia="方正黑体_GBK" w:cs="Times New Roman"/>
          <w:vanish w:val="0"/>
          <w:color w:val="3D3D3D"/>
          <w:kern w:val="0"/>
          <w:sz w:val="13"/>
          <w:szCs w:val="13"/>
        </w:rPr>
        <w:t>销售机构</w:t>
      </w:r>
      <w:r>
        <w:rPr>
          <w:rFonts w:hint="eastAsia" w:ascii="方正黑体_GBK" w:hAnsi="方正黑体_GBK" w:eastAsia="方正黑体_GBK"/>
          <w:vanish w:val="0"/>
          <w:color w:val="3D3D3D"/>
          <w:kern w:val="0"/>
          <w:sz w:val="13"/>
          <w:szCs w:val="13"/>
        </w:rPr>
        <w:t>、托管机构系统故障、通讯故障、投资市场停止交易等意外事件的出现，严重影响金融市场的正常运行，从而</w:t>
      </w:r>
      <w:r>
        <w:rPr>
          <w:rFonts w:hint="eastAsia" w:ascii="方正黑体_GBK" w:hAnsi="方正黑体_GBK" w:eastAsia="方正黑体_GBK" w:cs="Times New Roman"/>
          <w:vanish w:val="0"/>
          <w:color w:val="3D3D3D"/>
          <w:kern w:val="0"/>
          <w:sz w:val="13"/>
          <w:szCs w:val="13"/>
        </w:rPr>
        <w:t>对</w:t>
      </w:r>
      <w:r>
        <w:rPr>
          <w:rFonts w:hint="eastAsia" w:ascii="方正黑体_GBK" w:hAnsi="方正黑体_GBK" w:eastAsia="方正黑体_GBK"/>
          <w:vanish w:val="0"/>
          <w:color w:val="3D3D3D"/>
          <w:kern w:val="0"/>
          <w:sz w:val="13"/>
          <w:szCs w:val="13"/>
        </w:rPr>
        <w:t>理财产品的成立、发行、投资运作、资金返还、信息披露、公告通知等造成影响，甚至影响理财产品的受理、投资、分配等事宜的正常进行，进而导致投资者蒙受</w:t>
      </w:r>
      <w:r>
        <w:rPr>
          <w:rFonts w:hint="eastAsia" w:ascii="方正黑体_GBK" w:hAnsi="方正黑体_GBK" w:eastAsia="方正黑体_GBK" w:cs="Times New Roman"/>
          <w:vanish w:val="0"/>
          <w:color w:val="3D3D3D"/>
          <w:kern w:val="0"/>
          <w:sz w:val="13"/>
          <w:szCs w:val="13"/>
        </w:rPr>
        <w:t>本金和收益遭受</w:t>
      </w:r>
      <w:r>
        <w:rPr>
          <w:rFonts w:hint="eastAsia" w:ascii="方正黑体_GBK" w:hAnsi="方正黑体_GBK" w:eastAsia="方正黑体_GBK"/>
          <w:vanish w:val="0"/>
          <w:color w:val="3D3D3D"/>
          <w:kern w:val="0"/>
          <w:sz w:val="13"/>
          <w:szCs w:val="13"/>
        </w:rPr>
        <w:t>损失的风险。</w:t>
      </w:r>
      <w:r>
        <w:rPr>
          <w:rFonts w:hint="eastAsia" w:ascii="方正黑体_GBK" w:hAnsi="方正黑体_GBK" w:eastAsia="方正黑体_GBK" w:cs="Times New Roman"/>
          <w:vanish w:val="0"/>
          <w:color w:val="3D3D3D"/>
          <w:kern w:val="0"/>
          <w:sz w:val="13"/>
          <w:szCs w:val="13"/>
        </w:rPr>
        <w:t>因不可抗力及意外事件风险导致的任何损失，</w:t>
      </w:r>
      <w:r>
        <w:rPr>
          <w:rFonts w:hint="eastAsia" w:ascii="方正黑体_GBK" w:hAnsi="方正黑体_GBK" w:eastAsia="方正黑体_GBK"/>
          <w:vanish w:val="0"/>
          <w:color w:val="3D3D3D"/>
          <w:kern w:val="0"/>
          <w:sz w:val="13"/>
          <w:szCs w:val="13"/>
        </w:rPr>
        <w:t>由投资者</w:t>
      </w:r>
      <w:r>
        <w:rPr>
          <w:rFonts w:hint="eastAsia" w:ascii="方正黑体_GBK" w:hAnsi="方正黑体_GBK" w:eastAsia="方正黑体_GBK" w:cs="Times New Roman"/>
          <w:vanish w:val="0"/>
          <w:color w:val="3D3D3D"/>
          <w:kern w:val="0"/>
          <w:sz w:val="13"/>
          <w:szCs w:val="13"/>
        </w:rPr>
        <w:t>自行</w:t>
      </w:r>
      <w:r>
        <w:rPr>
          <w:rFonts w:hint="eastAsia" w:ascii="方正黑体_GBK" w:hAnsi="方正黑体_GBK" w:eastAsia="方正黑体_GBK"/>
          <w:vanish w:val="0"/>
          <w:color w:val="3D3D3D"/>
          <w:kern w:val="0"/>
          <w:sz w:val="13"/>
          <w:szCs w:val="13"/>
        </w:rPr>
        <w:t>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（十三）税收风险：南银理财暂不负责代扣代缴投资者购买本理财产品所得收益应缴纳的各项税款。若相关税</w:t>
      </w:r>
      <w:r>
        <w:rPr>
          <w:rFonts w:hint="eastAsia" w:ascii="方正黑体_GBK" w:hAnsi="方正黑体_GBK" w:eastAsia="方正黑体_GBK" w:cs="Times New Roman"/>
          <w:vanish w:val="0"/>
          <w:color w:val="3D3D3D"/>
          <w:kern w:val="0"/>
          <w:sz w:val="13"/>
          <w:szCs w:val="13"/>
        </w:rPr>
        <w:t>收</w:t>
      </w:r>
      <w:r>
        <w:rPr>
          <w:rFonts w:hint="eastAsia" w:ascii="方正黑体_GBK" w:hAnsi="方正黑体_GBK" w:eastAsia="方正黑体_GBK"/>
          <w:vanish w:val="0"/>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（十五）操作风险：若管理人、</w:t>
      </w:r>
      <w:r>
        <w:rPr>
          <w:rFonts w:hint="eastAsia" w:ascii="方正黑体_GBK" w:hAnsi="方正黑体_GBK" w:eastAsia="方正黑体_GBK" w:cs="Times New Roman"/>
          <w:vanish w:val="0"/>
          <w:color w:val="3D3D3D"/>
          <w:kern w:val="0"/>
          <w:sz w:val="13"/>
          <w:szCs w:val="13"/>
        </w:rPr>
        <w:t>销售机构</w:t>
      </w:r>
      <w:r>
        <w:rPr>
          <w:rFonts w:hint="eastAsia" w:ascii="方正黑体_GBK" w:hAnsi="方正黑体_GBK" w:eastAsia="方正黑体_GBK"/>
          <w:vanish w:val="0"/>
          <w:color w:val="3D3D3D"/>
          <w:kern w:val="0"/>
          <w:sz w:val="13"/>
          <w:szCs w:val="13"/>
        </w:rPr>
        <w:t>、托管机构由于内部作业、人员管理及系统操作不当或失误，处理事务不当等，可能导致本理财产品的本金及收益遭受损失。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（十六）代销风险：本理财产品通过代销机构销售</w:t>
      </w:r>
      <w:r>
        <w:rPr>
          <w:rFonts w:hint="eastAsia" w:ascii="方正黑体_GBK" w:hAnsi="方正黑体_GBK" w:eastAsia="方正黑体_GBK" w:cs="Times New Roman"/>
          <w:vanish w:val="0"/>
          <w:color w:val="3D3D3D"/>
          <w:kern w:val="0"/>
          <w:sz w:val="13"/>
          <w:szCs w:val="13"/>
        </w:rPr>
        <w:t>时</w:t>
      </w:r>
      <w:r>
        <w:rPr>
          <w:rFonts w:hint="eastAsia" w:ascii="方正黑体_GBK" w:hAnsi="方正黑体_GBK" w:eastAsia="方正黑体_GBK"/>
          <w:vanish w:val="0"/>
          <w:color w:val="3D3D3D"/>
          <w:kern w:val="0"/>
          <w:sz w:val="13"/>
          <w:szCs w:val="13"/>
        </w:rPr>
        <w:t>，认购</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申购时投资者购买理财产品的资金由代销机构从投资者账户扣收并划付管理人，赎回时理财本金和理财收益相应款项由管理人按理财</w:t>
      </w:r>
      <w:r>
        <w:rPr>
          <w:rFonts w:hint="eastAsia" w:ascii="方正黑体_GBK" w:hAnsi="方正黑体_GBK" w:eastAsia="方正黑体_GBK" w:cs="Times New Roman"/>
          <w:vanish w:val="0"/>
          <w:color w:val="3D3D3D"/>
          <w:kern w:val="0"/>
          <w:sz w:val="13"/>
          <w:szCs w:val="13"/>
        </w:rPr>
        <w:t>产品销售文件</w:t>
      </w:r>
      <w:r>
        <w:rPr>
          <w:rFonts w:hint="eastAsia" w:ascii="方正黑体_GBK" w:hAnsi="方正黑体_GBK" w:eastAsia="方正黑体_GBK"/>
          <w:vanish w:val="0"/>
          <w:color w:val="3D3D3D"/>
          <w:kern w:val="0"/>
          <w:sz w:val="13"/>
          <w:szCs w:val="13"/>
        </w:rPr>
        <w:t>约定划付至代销机构，并由代销机构向投资者支付。</w:t>
      </w:r>
      <w:r>
        <w:rPr>
          <w:rFonts w:hint="eastAsia" w:ascii="方正黑体_GBK" w:hAnsi="方正黑体_GBK" w:eastAsia="方正黑体_GBK" w:cs="Times New Roman"/>
          <w:vanish w:val="0"/>
          <w:color w:val="3D3D3D"/>
          <w:kern w:val="0"/>
          <w:sz w:val="13"/>
          <w:szCs w:val="13"/>
        </w:rPr>
        <w:t>如果投资者在代销机构的资金账户余额不足，或代销机构未及时将投资者认购</w:t>
      </w:r>
      <w:r>
        <w:rPr>
          <w:rFonts w:ascii="方正黑体_GBK" w:hAnsi="方正黑体_GBK" w:eastAsia="方正黑体_GBK" w:cs="Times New Roman"/>
          <w:vanish w:val="0"/>
          <w:color w:val="3D3D3D"/>
          <w:kern w:val="0"/>
          <w:sz w:val="13"/>
          <w:szCs w:val="13"/>
        </w:rPr>
        <w:t>/</w:t>
      </w:r>
      <w:r>
        <w:rPr>
          <w:rFonts w:hint="eastAsia" w:ascii="方正黑体_GBK" w:hAnsi="方正黑体_GBK" w:eastAsia="方正黑体_GBK" w:cs="Times New Roman"/>
          <w:vanish w:val="0"/>
          <w:color w:val="3D3D3D"/>
          <w:kern w:val="0"/>
          <w:sz w:val="13"/>
          <w:szCs w:val="13"/>
        </w:rPr>
        <w:t>申购资金划转至南银理财，将导致投资者无法完成认购</w:t>
      </w:r>
      <w:r>
        <w:rPr>
          <w:rFonts w:ascii="方正黑体_GBK" w:hAnsi="方正黑体_GBK" w:eastAsia="方正黑体_GBK" w:cs="Times New Roman"/>
          <w:vanish w:val="0"/>
          <w:color w:val="3D3D3D"/>
          <w:kern w:val="0"/>
          <w:sz w:val="13"/>
          <w:szCs w:val="13"/>
        </w:rPr>
        <w:t>/</w:t>
      </w:r>
      <w:r>
        <w:rPr>
          <w:rFonts w:hint="eastAsia" w:ascii="方正黑体_GBK" w:hAnsi="方正黑体_GBK" w:eastAsia="方正黑体_GBK" w:cs="Times New Roman"/>
          <w:vanish w:val="0"/>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ascii="方正黑体_GBK" w:hAnsi="方正黑体_GBK" w:eastAsia="方正黑体_GBK"/>
          <w:vanish w:val="0"/>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（十七）未知价风险：净值型产品采用</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金额申购、份额赎回</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原则，即产品认</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申购以金额申请，赎回以份额申请，认</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申购与赎回价格以</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未知价原则</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受理申请。</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未知价原则</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，即理财产品申购申请和赎回申请提交时，适用的产品单位净值都是未知的，单位净值固定的产品除外。</w:t>
      </w:r>
    </w:p>
    <w:p>
      <w:pPr>
        <w:keepNext w:val="0"/>
        <w:keepLines w:val="0"/>
        <w:pageBreakBefore w:val="0"/>
        <w:widowControl/>
        <w:suppressLineNumbers w:val="0"/>
        <w:suppressAutoHyphens w:val="0"/>
        <w:spacing w:line="200" w:lineRule="exact"/>
        <w:ind w:firstLine="260"/>
        <w:rPr>
          <w:rFonts w:hint="eastAsia" w:ascii="方正黑体_GBK" w:hAnsi="方正黑体_GBK" w:eastAsia="方正黑体_GBK"/>
          <w:sz w:val="20"/>
          <w:szCs w:val="20"/>
        </w:rPr>
      </w:pPr>
      <w:r>
        <w:rPr>
          <w:rFonts w:hint="eastAsia" w:ascii="方正黑体_GBK" w:hAnsi="方正黑体_GBK" w:eastAsia="方正黑体_GBK"/>
          <w:vanish w:val="0"/>
          <w:color w:val="3D3D3D"/>
          <w:kern w:val="0"/>
          <w:sz w:val="13"/>
          <w:szCs w:val="13"/>
        </w:rPr>
        <w:t>（十八）关联交易风险：在合法合规且履行应履行的内</w:t>
      </w:r>
      <w:r>
        <w:rPr>
          <w:rFonts w:hint="eastAsia" w:ascii="方正黑体_GBK" w:hAnsi="方正黑体_GBK" w:eastAsia="方正黑体_GBK" w:cs="Times New Roman"/>
          <w:vanish w:val="0"/>
          <w:color w:val="3D3D3D"/>
          <w:kern w:val="0"/>
          <w:sz w:val="13"/>
          <w:szCs w:val="13"/>
        </w:rPr>
        <w:t>、</w:t>
      </w:r>
      <w:r>
        <w:rPr>
          <w:rFonts w:hint="eastAsia" w:ascii="方正黑体_GBK" w:hAnsi="方正黑体_GBK" w:eastAsia="方正黑体_GBK"/>
          <w:vanish w:val="0"/>
          <w:color w:val="3D3D3D"/>
          <w:kern w:val="0"/>
          <w:sz w:val="13"/>
          <w:szCs w:val="13"/>
        </w:rPr>
        <w:t>外部程序后，理财产品可能</w:t>
      </w:r>
      <w:r>
        <w:rPr>
          <w:rFonts w:hint="eastAsia" w:ascii="方正黑体_GBK" w:hAnsi="方正黑体_GBK" w:eastAsia="方正黑体_GBK" w:cs="Times New Roman"/>
          <w:vanish w:val="0"/>
          <w:color w:val="3D3D3D"/>
          <w:kern w:val="0"/>
          <w:sz w:val="13"/>
          <w:szCs w:val="13"/>
        </w:rPr>
        <w:t>投资于</w:t>
      </w:r>
      <w:r>
        <w:rPr>
          <w:rFonts w:hint="eastAsia" w:ascii="方正黑体_GBK" w:hAnsi="方正黑体_GBK" w:eastAsia="方正黑体_GBK"/>
          <w:vanish w:val="0"/>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ascii="方正黑体_GBK" w:hAnsi="方正黑体_GBK" w:eastAsia="方正黑体_GBK" w:cs="Times New Roman"/>
          <w:vanish w:val="0"/>
          <w:color w:val="3D3D3D"/>
          <w:kern w:val="0"/>
          <w:sz w:val="13"/>
          <w:szCs w:val="13"/>
        </w:rPr>
        <w:t>，</w:t>
      </w:r>
      <w:r>
        <w:rPr>
          <w:rFonts w:hint="eastAsia" w:ascii="方正黑体_GBK" w:hAnsi="方正黑体_GBK" w:eastAsia="方正黑体_GBK"/>
          <w:vanish w:val="0"/>
          <w:color w:val="3D3D3D"/>
          <w:kern w:val="0"/>
          <w:sz w:val="13"/>
          <w:szCs w:val="13"/>
        </w:rPr>
        <w:t>本理财产品</w:t>
      </w:r>
      <w:r>
        <w:rPr>
          <w:rFonts w:hint="eastAsia" w:ascii="方正黑体_GBK" w:hAnsi="方正黑体_GBK" w:eastAsia="方正黑体_GBK" w:cs="Times New Roman"/>
          <w:vanish w:val="0"/>
          <w:color w:val="3D3D3D"/>
          <w:kern w:val="0"/>
          <w:sz w:val="13"/>
          <w:szCs w:val="13"/>
        </w:rPr>
        <w:t>也</w:t>
      </w:r>
      <w:r>
        <w:rPr>
          <w:rFonts w:hint="eastAsia" w:ascii="方正黑体_GBK" w:hAnsi="方正黑体_GBK" w:eastAsia="方正黑体_GBK"/>
          <w:vanish w:val="0"/>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sz w:val="13"/>
          <w:szCs w:val="13"/>
        </w:rPr>
        <w:t xml:space="preserve"> </w:t>
      </w:r>
      <w:r>
        <w:rPr>
          <w:rFonts w:hint="eastAsia" w:ascii="方正黑体_GBK" w:hAnsi="方正黑体_GBK" w:eastAsia="方正黑体_GBK"/>
          <w:vanish w:val="0"/>
          <w:color w:val="3D3D3D"/>
          <w:kern w:val="0"/>
          <w:sz w:val="13"/>
          <w:szCs w:val="13"/>
        </w:rPr>
        <w:t>第二条</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本理财产品特定风险揭示</w:t>
      </w:r>
    </w:p>
    <w:p>
      <w:pPr>
        <w:spacing w:line="200" w:lineRule="exact"/>
      </w:pPr>
      <w:r>
        <w:rPr>
          <w:rFonts w:ascii="方正黑体_GBK" w:hAnsi="方正黑体_GBK" w:eastAsia="方正黑体_GBK" w:cs="宋体"/>
          <w:b/>
          <w:sz w:val="13"/>
          <w:szCs w:val="20"/>
        </w:rPr>
        <w:t xml:space="preserve">    1.债券类资产投资风险</w:t>
      </w:r>
    </w:p>
    <w:p>
      <w:pPr>
        <w:spacing w:line="200" w:lineRule="exact"/>
      </w:pPr>
      <w:r>
        <w:rPr>
          <w:rFonts w:ascii="方正黑体_GBK" w:hAnsi="方正黑体_GBK" w:eastAsia="方正黑体_GBK"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pPr>
        <w:spacing w:line="200" w:lineRule="exact"/>
      </w:pPr>
      <w:r>
        <w:rPr>
          <w:rFonts w:ascii="方正黑体_GBK" w:hAnsi="方正黑体_GBK" w:eastAsia="方正黑体_GBK" w:cs="宋体"/>
          <w:b/>
          <w:sz w:val="13"/>
          <w:szCs w:val="20"/>
        </w:rPr>
        <w:t xml:space="preserve">    2.资产管理产品投资风险</w:t>
      </w:r>
    </w:p>
    <w:p>
      <w:pPr>
        <w:spacing w:line="200" w:lineRule="exact"/>
      </w:pPr>
      <w:r>
        <w:rPr>
          <w:rFonts w:ascii="方正黑体_GBK" w:hAnsi="方正黑体_GBK" w:eastAsia="方正黑体_GBK"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本理财产品</w:t>
      </w:r>
      <w:r>
        <w:rPr>
          <w:rFonts w:hint="eastAsia" w:ascii="方正黑体_GBK" w:hAnsi="方正黑体_GBK" w:eastAsia="方正黑体_GBK"/>
          <w:b/>
          <w:bCs/>
          <w:color w:val="3D3D3D"/>
          <w:kern w:val="0"/>
          <w:sz w:val="13"/>
          <w:szCs w:val="13"/>
        </w:rPr>
        <w:t>类型：开放式、固定收益类、公募、净值型。</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7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l="0"/>
          <w:vanish w:val="0"/>
          <w:color w:val="3D3D3D"/>
          <w:kern w:val="0"/>
          <w:sz w:val="13"/>
          <w:szCs w:val="13"/>
        </w:rPr>
        <w:t>本理财产品期限</w:t>
      </w:r>
      <w:r>
        <w:rPr>
          <w:rFonts w:hint="eastAsia" w:ascii="方正黑体_GBK" w:hAnsi="方正黑体_GBK" w:eastAsia="方正黑体_GBK"/>
          <w:b/>
          <w:bCs w:val="0"/>
          <w:vanish w:val="0"/>
          <w:color w:val="3D3D3D"/>
          <w:kern w:val="0"/>
          <w:sz w:val="13"/>
          <w:szCs w:val="13"/>
        </w:rPr>
        <w:t>为</w:t>
      </w:r>
      <w:r>
        <w:rPr>
          <w:rFonts w:hint="eastAsia" w:ascii="方正黑体_GBK" w:hAnsi="方正黑体_GBK" w:eastAsia="方正黑体_GBK"/>
          <w:b/>
          <w:bCs/>
          <w:color w:val="3D3D3D"/>
          <w:kern w:val="0"/>
          <w:sz w:val="13"/>
          <w:szCs w:val="13"/>
        </w:rPr>
        <w:t>10年</w:t>
      </w:r>
      <w:r>
        <w:rPr>
          <w:rFonts w:hint="eastAsia" w:ascii="方正黑体_GBK" w:hAnsi="方正黑体_GBK" w:eastAsia="方正黑体_GBK" w:cs="Times New Roman"/>
          <w:b/>
          <w:bCs w:val="0"/>
          <w:vanish w:val="0"/>
          <w:color w:val="3D3D3D"/>
          <w:kern w:val="0"/>
          <w:sz w:val="13"/>
          <w:szCs w:val="13"/>
        </w:rPr>
        <w:t>（若本理财产品被提前终止或延期终止，以实际到期日计算持有天数）</w:t>
      </w:r>
      <w:r>
        <w:rPr>
          <w:rFonts w:hint="eastAsia" w:ascii="方正黑体_GBK" w:hAnsi="方正黑体_GBK" w:eastAsia="方正黑体_GBK"/>
          <w:b/>
          <w:bCs w:val="0"/>
          <w:vanish w:val="0"/>
          <w:color w:val="3D3D3D"/>
          <w:kern w:val="0"/>
          <w:sz w:val="13"/>
          <w:szCs w:val="13"/>
        </w:rPr>
        <w:t>。</w:t>
      </w:r>
    </w:p>
    <w:p>
      <w:pPr>
        <w:pStyle w:val="30"/>
        <w:pBdr>
          <w:top w:val="none" w:color="auto" w:sz="0" w:space="0"/>
          <w:left w:val="none" w:color="auto" w:sz="0" w:space="0"/>
          <w:bottom w:val="none" w:color="auto" w:sz="0" w:space="0"/>
          <w:right w:val="none" w:color="auto" w:sz="0" w:space="0"/>
        </w:pBdr>
        <w:spacing w:before="0" w:beforeAutospacing="0" w:after="0" w:afterAutospacing="0" w:line="200" w:lineRule="exact"/>
        <w:rPr>
          <w:rFonts w:ascii="方正黑体_GBK" w:hAnsi="方正黑体_GBK" w:eastAsia="方正黑体_GBK"/>
          <w:vanish w:val="0"/>
          <w:color w:val="3D3D3D"/>
          <w:kern w:val="0"/>
          <w:sz w:val="13"/>
          <w:szCs w:val="13"/>
        </w:rPr>
      </w:pPr>
      <w:r>
        <w:rPr>
          <w:rFonts w:hint="eastAsia" w:ascii="方正黑体_GBK" w:hAnsi="方正黑体_GBK" w:eastAsia="方正黑体_GBK"/>
          <w:b/>
          <w:bCs/>
          <w:vanish w:val="0"/>
          <w:color w:val="3D3D3D"/>
          <w:kern w:val="0"/>
          <w:sz w:val="13"/>
          <w:szCs w:val="13"/>
        </w:rPr>
        <w:t>本理财产品风险</w:t>
      </w:r>
      <w:r>
        <w:rPr>
          <w:rFonts w:hint="eastAsia" w:ascii="方正黑体_GBK" w:hAnsi="方正黑体_GBK" w:eastAsia="方正黑体_GBK" w:cs="Times New Roman"/>
          <w:b/>
          <w:bCs/>
          <w:vanish w:val="0"/>
          <w:color w:val="3D3D3D"/>
          <w:kern w:val="0"/>
          <w:sz w:val="13"/>
          <w:szCs w:val="13"/>
        </w:rPr>
        <w:t>评级结果</w:t>
      </w:r>
      <w:r>
        <w:rPr>
          <w:rFonts w:hint="eastAsia" w:ascii="方正黑体_GBK" w:hAnsi="方正黑体_GBK" w:eastAsia="方正黑体_GBK"/>
          <w:b/>
          <w:bCs/>
          <w:vanish w:val="0"/>
          <w:color w:val="3D3D3D"/>
          <w:kern w:val="0"/>
          <w:sz w:val="13"/>
          <w:szCs w:val="13"/>
        </w:rPr>
        <w:t>：</w:t>
      </w:r>
      <w:r>
        <w:rPr>
          <w:rFonts w:hint="eastAsia" w:ascii="方正黑体_GBK" w:hAnsi="方正黑体_GBK" w:eastAsia="方正黑体_GBK"/>
          <w:vanish w:val="0"/>
          <w:color w:val="3D3D3D"/>
          <w:kern w:val="0"/>
          <w:sz w:val="13"/>
          <w:szCs w:val="13"/>
        </w:rPr>
        <w:t>根据管理人内部风险评级，该产品风险等级为</w:t>
      </w:r>
      <w:r>
        <w:rPr>
          <w:rFonts w:hint="eastAsia" w:ascii="方正黑体_GBK" w:hAnsi="方正黑体_GBK" w:eastAsia="方正黑体_GBK" w:cs="Times New Roman"/>
          <w:b/>
          <w:bCs w:val="0"/>
          <w:vanish w:val="0"/>
          <w:color w:val="3D3D3D"/>
          <w:kern w:val="0"/>
          <w:sz w:val="13"/>
          <w:szCs w:val="13"/>
        </w:rPr>
        <w:t>中低风险</w:t>
      </w:r>
      <w:r>
        <w:rPr>
          <w:rFonts w:hint="eastAsia" w:ascii="方正黑体_GBK" w:hAnsi="方正黑体_GBK" w:eastAsia="方正黑体_GBK"/>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 xml:space="preserve"> </w:t>
      </w:r>
      <w:r>
        <w:rPr>
          <w:rFonts w:hint="eastAsia" w:ascii="方正黑体_GBK" w:hAnsi="方正黑体_GBK" w:eastAsia="方正黑体_GBK"/>
          <w:color w:val="3D3D3D"/>
          <w:kern w:val="0"/>
          <w:sz w:val="13"/>
          <w:szCs w:val="13"/>
        </w:rPr>
        <w:t>管理人不承诺本金保障，产品收益随投资表现变动，产品存在较低的本金损失风险</w:t>
      </w:r>
      <w:r>
        <w:rPr>
          <w:rFonts w:hint="eastAsia" w:ascii="方正黑体_GBK" w:hAnsi="方正黑体_GBK" w:eastAsia="方正黑体_GBK"/>
          <w:vanish w:val="0"/>
          <w:color w:val="3D3D3D"/>
          <w:kern w:val="0"/>
          <w:sz w:val="13"/>
          <w:szCs w:val="13"/>
        </w:rPr>
        <w:t>。</w:t>
      </w:r>
    </w:p>
    <w:p>
      <w:pPr>
        <w:pStyle w:val="30"/>
        <w:pBdr>
          <w:top w:val="none" w:color="auto" w:sz="0" w:space="0"/>
          <w:left w:val="none" w:color="auto" w:sz="0" w:space="0"/>
          <w:bottom w:val="none" w:color="auto" w:sz="0" w:space="0"/>
          <w:right w:val="none" w:color="auto" w:sz="0" w:space="0"/>
        </w:pBdr>
        <w:spacing w:before="0" w:beforeAutospacing="0" w:after="0" w:afterAutospacing="0"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b/>
          <w:bCs/>
          <w:vanish w:val="0"/>
          <w:color w:val="3D3D3D"/>
          <w:kern w:val="0"/>
          <w:sz w:val="13"/>
          <w:szCs w:val="13"/>
        </w:rPr>
        <w:t>本风险等级为南银理财风险评级结果，</w:t>
      </w:r>
      <w:r>
        <w:rPr>
          <w:rFonts w:hint="eastAsia" w:ascii="方正黑体_GBK" w:hAnsi="方正黑体_GBK" w:eastAsia="方正黑体_GBK" w:cs="Times New Roman"/>
          <w:b/>
          <w:bCs/>
          <w:vanish w:val="0"/>
          <w:color w:val="3D3D3D"/>
          <w:kern w:val="0"/>
          <w:sz w:val="13"/>
          <w:szCs w:val="13"/>
        </w:rPr>
        <w:t>该产品通过代理销售机构渠道销售的，理财产品评级应当以代理销售机构最终披露的评级结果为准。</w:t>
      </w:r>
      <w:r>
        <w:rPr>
          <w:rFonts w:hint="eastAsia" w:ascii="方正黑体_GBK" w:hAnsi="方正黑体_GBK" w:eastAsia="方正黑体_GBK" w:cs="Times New Roman"/>
          <w:vanish w:val="0"/>
          <w:color w:val="3D3D3D"/>
          <w:kern w:val="0"/>
          <w:sz w:val="13"/>
          <w:szCs w:val="13"/>
        </w:rPr>
        <w:t>您需充分认识投资风险，谨慎投资。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hint="eastAsia" w:ascii="方正黑体_GBK" w:hAnsi="方正黑体_GBK" w:eastAsia="方正黑体_GBK"/>
          <w:bCs/>
          <w:color w:val="3D3D3D"/>
          <w:kern w:val="0"/>
          <w:sz w:val="13"/>
          <w:szCs w:val="13"/>
        </w:rPr>
      </w:pPr>
      <w:r>
        <w:rPr>
          <w:rFonts w:hint="eastAsia" w:ascii="方正黑体_GBK" w:hAnsi="方正黑体_GBK" w:eastAsia="方正黑体_GBK" w:cs="Times New Roman"/>
          <w:b/>
          <w:bCs/>
          <w:vanish w:val="0"/>
          <w:color w:val="3D3D3D"/>
          <w:kern w:val="0"/>
          <w:sz w:val="13"/>
          <w:szCs w:val="13"/>
        </w:rPr>
        <w:t>适合购买本理财产品的投资者</w:t>
      </w:r>
      <w:r>
        <w:rPr>
          <w:rFonts w:hint="eastAsia" w:ascii="方正黑体_GBK" w:hAnsi="方正黑体_GBK" w:eastAsia="方正黑体_GBK"/>
          <w:b/>
          <w:bCs/>
          <w:vanish w:val="0"/>
          <w:color w:val="3D3D3D"/>
          <w:kern w:val="0"/>
          <w:sz w:val="13"/>
          <w:szCs w:val="13"/>
        </w:rPr>
        <w:t>：</w:t>
      </w:r>
      <w:r>
        <w:rPr>
          <w:rFonts w:hint="eastAsia" w:ascii="方正黑体_GBK" w:hAnsi="方正黑体_GBK" w:eastAsia="方正黑体_GBK"/>
          <w:color w:val="3D3D3D"/>
          <w:kern w:val="0"/>
          <w:sz w:val="13"/>
          <w:szCs w:val="13"/>
        </w:rPr>
        <w:t>符合相关法律法规、监管规定要求的，经销售机构的风险承受能力评估体系评定为适合的个人和机构投资者。</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个人投资者在首次通过销售机构购买理财产品时应根据销售机构的要求进行风险承受能力评估</w:t>
      </w:r>
      <w:r>
        <w:rPr>
          <w:rFonts w:hint="eastAsia" w:ascii="方正黑体_GBK" w:hAnsi="方正黑体_GBK" w:eastAsia="方正黑体_GBK"/>
          <w:b/>
          <w:bCs/>
          <w:vanish w:val="0"/>
          <w:color w:val="3D3D3D"/>
          <w:kern w:val="0"/>
          <w:sz w:val="13"/>
          <w:szCs w:val="13"/>
        </w:rPr>
        <w:t>。如影响您风险承受能力的因素发生变化，</w:t>
      </w:r>
      <w:r>
        <w:rPr>
          <w:rFonts w:hint="eastAsia" w:ascii="方正黑体_GBK" w:hAnsi="方正黑体_GBK" w:eastAsia="方正黑体_GBK" w:cs="Times New Roman"/>
          <w:b/>
          <w:bCs/>
          <w:vanish w:val="0"/>
          <w:color w:val="3D3D3D"/>
          <w:kern w:val="0"/>
          <w:sz w:val="13"/>
          <w:szCs w:val="13"/>
        </w:rPr>
        <w:t>请及时完成风险承受能力评估</w:t>
      </w:r>
      <w:r>
        <w:rPr>
          <w:rFonts w:hint="eastAsia" w:ascii="方正黑体_GBK" w:hAnsi="方正黑体_GBK" w:eastAsia="方正黑体_GBK"/>
          <w:b/>
          <w:bCs/>
          <w:vanish w:val="0"/>
          <w:color w:val="3D3D3D"/>
          <w:kern w:val="0"/>
          <w:sz w:val="13"/>
          <w:szCs w:val="13"/>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cs="Times New Roman"/>
          <w:vanish w:val="0"/>
          <w:kern w:val="2"/>
          <w:sz w:val="21"/>
          <w:szCs w:val="21"/>
        </w:rPr>
      </w:pPr>
      <w:r>
        <w:rPr>
          <w:rFonts w:hint="eastAsia" w:ascii="方正黑体_GBK" w:hAnsi="方正黑体_GBK" w:eastAsia="方正黑体_GBK" w:cs="Times New Roman"/>
          <w:b/>
          <w:bCs/>
          <w:vanish w:val="0"/>
          <w:color w:val="3D3D3D"/>
          <w:kern w:val="0"/>
          <w:sz w:val="13"/>
          <w:szCs w:val="13"/>
        </w:rPr>
        <w:t>最不利投资情形下的投资结果</w:t>
      </w:r>
      <w:r>
        <w:rPr>
          <w:rFonts w:hint="eastAsia" w:ascii="方正黑体_GBK" w:hAnsi="方正黑体_GBK" w:eastAsia="方正黑体_GBK"/>
          <w:b/>
          <w:bCs/>
          <w:vanish w:val="0"/>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rFonts w:ascii="方正黑体_GBK" w:hAnsi="方正黑体_GBK" w:eastAsia="方正黑体_GBK"/>
          <w:b/>
          <w:bCs/>
          <w:vanish w:val="0"/>
          <w:color w:val="3D3D3D"/>
          <w:kern w:val="0"/>
          <w:sz w:val="13"/>
          <w:szCs w:val="13"/>
        </w:rPr>
        <w:t>0</w:t>
      </w:r>
      <w:r>
        <w:rPr>
          <w:rFonts w:hint="eastAsia" w:ascii="方正黑体_GBK" w:hAnsi="方正黑体_GBK" w:eastAsia="方正黑体_GBK"/>
          <w:b/>
          <w:bCs/>
          <w:vanish w:val="0"/>
          <w:color w:val="3D3D3D"/>
          <w:kern w:val="0"/>
          <w:sz w:val="13"/>
          <w:szCs w:val="13"/>
        </w:rPr>
        <w:t>，即投资者面临全部本金的损失。为保证当期理财投资者权益而产生的费用由当期理财产品承担。</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示例：如投资者购买本理财产品，本金为</w:t>
      </w:r>
      <w:r>
        <w:rPr>
          <w:rFonts w:ascii="方正黑体_GBK" w:hAnsi="方正黑体_GBK" w:eastAsia="方正黑体_GBK"/>
          <w:b/>
          <w:bCs/>
          <w:vanish w:val="0"/>
          <w:color w:val="3D3D3D"/>
          <w:kern w:val="0"/>
          <w:sz w:val="13"/>
          <w:szCs w:val="13"/>
        </w:rPr>
        <w:t>1</w:t>
      </w:r>
      <w:r>
        <w:rPr>
          <w:rFonts w:hint="eastAsia" w:ascii="方正黑体_GBK" w:hAnsi="方正黑体_GBK" w:eastAsia="方正黑体_GBK"/>
          <w:b/>
          <w:bCs/>
          <w:vanish w:val="0"/>
          <w:color w:val="3D3D3D"/>
          <w:kern w:val="0"/>
          <w:sz w:val="13"/>
          <w:szCs w:val="13"/>
        </w:rPr>
        <w:t>万元，在理财产品资产组合项下资产全部亏损的最不利情况下，理财产品</w:t>
      </w:r>
      <w:r>
        <w:rPr>
          <w:rFonts w:ascii="方正黑体_GBK" w:hAnsi="方正黑体_GBK" w:eastAsia="方正黑体_GBK"/>
          <w:b/>
          <w:bCs/>
          <w:vanish w:val="0"/>
          <w:color w:val="3D3D3D"/>
          <w:kern w:val="0"/>
          <w:sz w:val="13"/>
          <w:szCs w:val="13"/>
        </w:rPr>
        <w:t>1</w:t>
      </w:r>
      <w:r>
        <w:rPr>
          <w:rFonts w:hint="eastAsia" w:ascii="方正黑体_GBK" w:hAnsi="方正黑体_GBK" w:eastAsia="方正黑体_GBK"/>
          <w:b/>
          <w:bCs/>
          <w:vanish w:val="0"/>
          <w:color w:val="3D3D3D"/>
          <w:kern w:val="0"/>
          <w:sz w:val="13"/>
          <w:szCs w:val="13"/>
        </w:rPr>
        <w:t>万元本金将全部损失。</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Times New Roman"/>
          <w:b/>
          <w:bCs w:val="0"/>
          <w:vanish w:val="0"/>
          <w:color w:val="3D3D3D"/>
          <w:kern w:val="0"/>
          <w:sz w:val="13"/>
          <w:szCs w:val="13"/>
        </w:rPr>
      </w:pP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u w:val="single"/>
        </w:rPr>
        <w:t>上述风险客观存在，敬请投资者予以充分关注！</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ascii="方正黑体_GBK" w:hAnsi="方正黑体_GBK" w:eastAsia="方正黑体_GBK"/>
          <w:b/>
          <w:bCs w:val="0"/>
          <w:vanish w:val="0"/>
          <w:color w:val="3D3D3D"/>
          <w:kern w:val="0"/>
          <w:sz w:val="15"/>
          <w:szCs w:val="15"/>
          <w:u w:val="single"/>
        </w:rPr>
      </w:pPr>
    </w:p>
    <w:p>
      <w:pPr>
        <w:pStyle w:val="17"/>
        <w:keepNext w:val="0"/>
        <w:keepLines w:val="0"/>
        <w:pageBreakBefore w:val="0"/>
        <w:widowControl/>
        <w:suppressLineNumbers w:val="0"/>
        <w:suppressAutoHyphens w:val="0"/>
        <w:spacing w:line="200" w:lineRule="exact"/>
        <w:ind w:firstLine="260"/>
        <w:jc w:val="left"/>
        <w:rPr>
          <w:rFonts w:hint="eastAsia" w:ascii="方正黑体_GBK" w:hAnsi="方正黑体_GBK" w:eastAsia="方正黑体_GBK"/>
          <w:b/>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ascii="方正黑体_GBK" w:hAnsi="方正黑体_GBK" w:eastAsia="方正黑体_GBK"/>
          <w:b/>
          <w:bCs w:val="0"/>
          <w:vanish w:val="0"/>
          <w:color w:val="3D3D3D"/>
          <w:kern w:val="0"/>
          <w:sz w:val="15"/>
          <w:szCs w:val="15"/>
          <w:u w:val="single"/>
        </w:rPr>
        <w:t>本风险揭示书</w:t>
      </w:r>
      <w:r>
        <w:rPr>
          <w:rFonts w:hint="eastAsia" w:ascii="方正黑体_GBK" w:hAnsi="方正黑体_GBK" w:eastAsia="方正黑体_GBK" w:cs="Times New Roman"/>
          <w:b/>
          <w:bCs w:val="0"/>
          <w:vanish w:val="0"/>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u w:val="single"/>
        </w:rPr>
        <w:t>投资者声明：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1.</w:t>
      </w:r>
      <w:r>
        <w:rPr>
          <w:rFonts w:hint="eastAsia" w:ascii="方正黑体_GBK" w:hAnsi="方正黑体_GBK" w:eastAsia="方正黑体_GBK" w:cs="Times New Roman"/>
          <w:b/>
          <w:bCs w:val="0"/>
          <w:vanish w:val="0"/>
          <w:color w:val="3D3D3D"/>
          <w:kern w:val="0"/>
          <w:sz w:val="15"/>
          <w:szCs w:val="15"/>
          <w:u w:val="single"/>
        </w:rPr>
        <w:t>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购买本理财产品为本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真实的意思表示</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并认为该理财产品完全适合本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的投资目标、投资预期以及风险承受能力，本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自愿承担由此带来的一切后果。本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确认南银理财</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销售机构相关业务人员对于理财产品销售文件中限制或排除本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权利、增加或加重本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义务或责任以及有关免除或减轻南银理财责任或南银理财单方面拥有某些权利的条款已向本人予以说明，本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已完全理解并自愿接受。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2.</w:t>
      </w:r>
      <w:r>
        <w:rPr>
          <w:rFonts w:hint="eastAsia" w:ascii="方正黑体_GBK" w:hAnsi="方正黑体_GBK" w:eastAsia="方正黑体_GBK" w:cs="Times New Roman"/>
          <w:b/>
          <w:bCs w:val="0"/>
          <w:vanish w:val="0"/>
          <w:color w:val="3D3D3D"/>
          <w:kern w:val="0"/>
          <w:sz w:val="15"/>
          <w:szCs w:val="15"/>
          <w:u w:val="single"/>
        </w:rPr>
        <w:t>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确认，将向本理财产品销售机构真实提供信息，自主作出认购</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申购</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赎回等决定，自主承担投资风险。本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拒绝向销售机构提供或者未按照要求提供信息的，销售机构有权告知本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相应的后果和责任，并有权拒绝向本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提供销售服务。</w:t>
      </w:r>
    </w:p>
    <w:p>
      <w:pPr>
        <w:keepNext w:val="0"/>
        <w:keepLines w:val="0"/>
        <w:pageBreakBefore w:val="0"/>
        <w:widowControl/>
        <w:suppressLineNumbers w:val="0"/>
        <w:suppressAutoHyphens w:val="0"/>
        <w:spacing w:line="200" w:lineRule="exact"/>
        <w:ind w:firstLine="420"/>
        <w:rPr>
          <w:rFonts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3.</w:t>
      </w:r>
      <w:r>
        <w:rPr>
          <w:rFonts w:hint="eastAsia" w:ascii="方正黑体_GBK" w:hAnsi="方正黑体_GBK" w:eastAsia="方正黑体_GBK" w:cs="Times New Roman"/>
          <w:b/>
          <w:bCs w:val="0"/>
          <w:vanish w:val="0"/>
          <w:color w:val="3D3D3D"/>
          <w:kern w:val="0"/>
          <w:sz w:val="15"/>
          <w:szCs w:val="15"/>
          <w:u w:val="single"/>
        </w:rPr>
        <w:t>本投资者确认，投资本理财产品的资金非贷款、发行债券等募集的非自有资金。</w:t>
      </w:r>
    </w:p>
    <w:p>
      <w:pPr>
        <w:keepNext w:val="0"/>
        <w:keepLines w:val="0"/>
        <w:pageBreakBefore w:val="0"/>
        <w:widowControl/>
        <w:suppressLineNumbers w:val="0"/>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4.</w:t>
      </w:r>
      <w:r>
        <w:rPr>
          <w:rFonts w:hint="eastAsia" w:ascii="方正黑体_GBK" w:hAnsi="方正黑体_GBK" w:eastAsia="方正黑体_GBK" w:cs="Times New Roman"/>
          <w:b/>
          <w:bCs w:val="0"/>
          <w:vanish w:val="0"/>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w:t>
      </w:r>
      <w:r>
        <w:rPr>
          <w:rFonts w:hint="eastAsia" w:ascii="方正黑体_GBK" w:hAnsi="方正黑体_GBK" w:eastAsia="方正黑体_GBK"/>
          <w:b/>
          <w:bCs w:val="0"/>
          <w:vanish w:val="0"/>
          <w:color w:val="3D3D3D"/>
          <w:kern w:val="0"/>
          <w:sz w:val="15"/>
          <w:szCs w:val="15"/>
          <w:u w:val="single"/>
        </w:rPr>
        <w:t>（仅由个人投资者亲自填写）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rPr>
        <w:t>5.</w:t>
      </w:r>
      <w:r>
        <w:rPr>
          <w:rFonts w:hint="eastAsia" w:ascii="方正黑体_GBK" w:hAnsi="方正黑体_GBK" w:eastAsia="方正黑体_GBK"/>
          <w:b/>
          <w:bCs w:val="0"/>
          <w:vanish w:val="0"/>
          <w:color w:val="3D3D3D"/>
          <w:kern w:val="0"/>
          <w:sz w:val="15"/>
          <w:szCs w:val="15"/>
          <w:u w:val="single"/>
        </w:rPr>
        <w:t>本投资者已认真阅读并充分理解本风险揭示书</w:t>
      </w:r>
      <w:r>
        <w:rPr>
          <w:rFonts w:hint="eastAsia" w:ascii="方正黑体_GBK" w:hAnsi="方正黑体_GBK" w:eastAsia="方正黑体_GBK" w:cs="Times New Roman"/>
          <w:b/>
          <w:bCs w:val="0"/>
          <w:vanish w:val="0"/>
          <w:color w:val="3D3D3D"/>
          <w:kern w:val="0"/>
          <w:sz w:val="15"/>
          <w:szCs w:val="15"/>
          <w:u w:val="single"/>
        </w:rPr>
        <w:t>及对应期次</w:t>
      </w:r>
      <w:r>
        <w:rPr>
          <w:rFonts w:hint="eastAsia" w:ascii="方正黑体_GBK" w:hAnsi="方正黑体_GBK" w:eastAsia="方正黑体_GBK"/>
          <w:b/>
          <w:bCs w:val="0"/>
          <w:vanish w:val="0"/>
          <w:color w:val="3D3D3D"/>
          <w:kern w:val="0"/>
          <w:sz w:val="15"/>
          <w:szCs w:val="15"/>
          <w:u w:val="single"/>
        </w:rPr>
        <w:t>《理财产品销售协议书》《理财产品说明书》《投资者权益须知》</w:t>
      </w:r>
      <w:r>
        <w:rPr>
          <w:rFonts w:hint="eastAsia" w:ascii="方正黑体_GBK" w:hAnsi="方正黑体_GBK" w:eastAsia="方正黑体_GBK" w:cs="Times New Roman"/>
          <w:b/>
          <w:bCs w:val="0"/>
          <w:vanish w:val="0"/>
          <w:color w:val="3D3D3D"/>
          <w:kern w:val="0"/>
          <w:sz w:val="15"/>
          <w:szCs w:val="15"/>
          <w:u w:val="single"/>
        </w:rPr>
        <w:t>《理财产品投资协议书》等理财产品销售文件</w:t>
      </w:r>
      <w:r>
        <w:rPr>
          <w:rFonts w:hint="eastAsia" w:ascii="方正黑体_GBK" w:hAnsi="方正黑体_GBK" w:eastAsia="方正黑体_GBK"/>
          <w:b/>
          <w:bCs w:val="0"/>
          <w:vanish w:val="0"/>
          <w:color w:val="3D3D3D"/>
          <w:kern w:val="0"/>
          <w:sz w:val="15"/>
          <w:szCs w:val="15"/>
          <w:u w:val="single"/>
        </w:rPr>
        <w:t>的全部条款与内容，</w:t>
      </w:r>
      <w:r>
        <w:rPr>
          <w:rFonts w:hint="eastAsia" w:ascii="方正黑体_GBK" w:hAnsi="方正黑体_GBK" w:eastAsia="方正黑体_GBK" w:cs="Times New Roman"/>
          <w:b/>
          <w:bCs w:val="0"/>
          <w:vanish w:val="0"/>
          <w:color w:val="3D3D3D"/>
          <w:kern w:val="0"/>
          <w:sz w:val="15"/>
          <w:szCs w:val="15"/>
          <w:u w:val="single"/>
        </w:rPr>
        <w:t>完全清楚理财产品购买流程、风险评估、产品评级含义、信息披露方式及渠道、南银理财及销售机构联系方式及投诉程序等内容，</w:t>
      </w:r>
      <w:r>
        <w:rPr>
          <w:rFonts w:hint="eastAsia" w:ascii="方正黑体_GBK" w:hAnsi="方正黑体_GBK" w:eastAsia="方正黑体_GBK"/>
          <w:b/>
          <w:bCs w:val="0"/>
          <w:vanish w:val="0"/>
          <w:color w:val="3D3D3D"/>
          <w:kern w:val="0"/>
          <w:sz w:val="15"/>
          <w:szCs w:val="15"/>
          <w:u w:val="single"/>
        </w:rPr>
        <w:t>充分了解履行上述文件的责任，具有识别及承担相关风险的能力，充分了解本理财产品的风险并愿意承担相关风险。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6.</w:t>
      </w:r>
      <w:r>
        <w:rPr>
          <w:rFonts w:hint="eastAsia" w:ascii="方正黑体_GBK" w:hAnsi="方正黑体_GBK" w:eastAsia="方正黑体_GBK" w:cs="Times New Roman"/>
          <w:b/>
          <w:bCs w:val="0"/>
          <w:vanish w:val="0"/>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pPr>
        <w:keepNext w:val="0"/>
        <w:keepLines w:val="0"/>
        <w:pageBreakBefore w:val="0"/>
        <w:widowControl/>
        <w:suppressLineNumbers w:val="0"/>
        <w:suppressAutoHyphens w:val="0"/>
        <w:spacing w:line="200" w:lineRule="exact"/>
        <w:ind w:firstLine="420"/>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7.</w:t>
      </w:r>
      <w:r>
        <w:rPr>
          <w:rFonts w:hint="eastAsia" w:ascii="方正黑体_GBK" w:hAnsi="方正黑体_GBK" w:eastAsia="方正黑体_GBK" w:cs="Times New Roman"/>
          <w:b/>
          <w:bCs w:val="0"/>
          <w:vanish w:val="0"/>
          <w:color w:val="3D3D3D"/>
          <w:kern w:val="0"/>
          <w:sz w:val="15"/>
          <w:szCs w:val="15"/>
          <w:u w:val="single"/>
        </w:rPr>
        <w:t>如销售机构为管理人关联方的，本</w:t>
      </w:r>
      <w:r>
        <w:rPr>
          <w:rFonts w:hint="eastAsia" w:ascii="方正黑体_GBK" w:hAnsi="方正黑体_GBK" w:eastAsia="方正黑体_GBK"/>
          <w:b/>
          <w:bCs w:val="0"/>
          <w:vanish w:val="0"/>
          <w:color w:val="3D3D3D"/>
          <w:kern w:val="0"/>
          <w:sz w:val="15"/>
          <w:szCs w:val="15"/>
          <w:u w:val="single"/>
        </w:rPr>
        <w:t>投资者认可此等关联方及关联交易情形的存在并自愿承担相关投资风险。</w:t>
      </w:r>
    </w:p>
    <w:p>
      <w:pPr>
        <w:keepNext w:val="0"/>
        <w:keepLines w:val="0"/>
        <w:pageBreakBefore w:val="0"/>
        <w:widowControl/>
        <w:suppressLineNumbers w:val="0"/>
        <w:suppressAutoHyphens w:val="0"/>
        <w:spacing w:line="200" w:lineRule="exact"/>
        <w:ind w:firstLine="420"/>
        <w:rPr>
          <w:rFonts w:ascii="方正黑体_GBK" w:hAnsi="方正黑体_GBK" w:eastAsia="方正黑体_GBK"/>
          <w:vanish w:val="0"/>
          <w:color w:val="3D3D3D"/>
          <w:kern w:val="0"/>
          <w:sz w:val="15"/>
          <w:szCs w:val="15"/>
          <w:u w:val="single"/>
        </w:rPr>
      </w:pPr>
      <w:r>
        <w:rPr>
          <w:rFonts w:hint="eastAsia" w:ascii="方正黑体_GBK" w:hAnsi="方正黑体_GBK" w:eastAsia="方正黑体_GBK"/>
          <w:vanish w:val="0"/>
          <w:color w:val="3D3D3D"/>
          <w:kern w:val="0"/>
          <w:sz w:val="15"/>
          <w:szCs w:val="15"/>
        </w:rPr>
        <w:t>8.以下划线部分，请投资者抄录确认：</w:t>
      </w:r>
      <w:r>
        <w:rPr>
          <w:rFonts w:ascii="方正黑体_GBK" w:hAnsi="方正黑体_GBK" w:eastAsia="方正黑体_GBK"/>
          <w:vanish w:val="0"/>
          <w:color w:val="3D3D3D"/>
          <w:kern w:val="0"/>
          <w:sz w:val="15"/>
          <w:szCs w:val="15"/>
        </w:rPr>
        <w:t>“</w:t>
      </w:r>
      <w:r>
        <w:rPr>
          <w:rFonts w:hint="eastAsia" w:ascii="方正黑体_GBK" w:hAnsi="方正黑体_GBK" w:eastAsia="方正黑体_GBK" w:cs="Times New Roman"/>
          <w:b/>
          <w:bCs w:val="0"/>
          <w:vanish w:val="0"/>
          <w:color w:val="3D3D3D"/>
          <w:kern w:val="0"/>
          <w:sz w:val="15"/>
          <w:szCs w:val="15"/>
          <w:u w:val="single"/>
        </w:rPr>
        <w:t>本人已经阅读风险揭示，愿意承担投资风险</w:t>
      </w:r>
      <w:r>
        <w:rPr>
          <w:rFonts w:ascii="方正黑体_GBK" w:hAnsi="方正黑体_GBK" w:eastAsia="方正黑体_GBK"/>
          <w:vanish w:val="0"/>
          <w:color w:val="3D3D3D"/>
          <w:kern w:val="0"/>
          <w:sz w:val="15"/>
          <w:szCs w:val="15"/>
        </w:rPr>
        <w:t>”</w:t>
      </w:r>
      <w:r>
        <w:rPr>
          <w:rFonts w:hint="eastAsia" w:ascii="方正黑体_GBK" w:hAnsi="方正黑体_GBK" w:eastAsia="方正黑体_GBK" w:cs="Times New Roman"/>
          <w:vanish w:val="0"/>
          <w:color w:val="3D3D3D"/>
          <w:kern w:val="0"/>
          <w:sz w:val="15"/>
          <w:szCs w:val="15"/>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投资者抄录：</w:t>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3"/>
          <w:szCs w:val="13"/>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ascii="方正黑体_GBK" w:hAnsi="方正黑体_GBK" w:eastAsia="方正黑体_GBK"/>
          <w:vanish w:val="0"/>
          <w:color w:val="3D3D3D"/>
          <w:kern w:val="0"/>
          <w:sz w:val="13"/>
          <w:szCs w:val="13"/>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ascii="方正黑体_GBK" w:hAnsi="方正黑体_GBK" w:eastAsia="方正黑体_GBK"/>
          <w:vanish w:val="0"/>
          <w:color w:val="3D3D3D"/>
          <w:kern w:val="0"/>
          <w:sz w:val="13"/>
          <w:szCs w:val="13"/>
        </w:rPr>
      </w:pPr>
    </w:p>
    <w:tbl>
      <w:tblPr>
        <w:tblStyle w:val="14"/>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287"/>
      </w:tblGrid>
      <w:tr>
        <w:trPr>
          <w:trHeight w:val="534"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b/>
                <w:bCs w:val="0"/>
                <w:vanish w:val="0"/>
                <w:kern w:val="2"/>
                <w:sz w:val="15"/>
                <w:szCs w:val="15"/>
              </w:rPr>
            </w:pPr>
            <w:r>
              <w:rPr>
                <w:rFonts w:hint="eastAsia" w:ascii="方正黑体_GBK" w:hAnsi="方正黑体_GBK" w:eastAsia="方正黑体_GBK"/>
                <w:b/>
                <w:bCs w:val="0"/>
                <w:vanish w:val="0"/>
                <w:kern w:val="2"/>
                <w:sz w:val="15"/>
                <w:szCs w:val="15"/>
              </w:rPr>
              <w:t>个人投资者</w:t>
            </w:r>
          </w:p>
        </w:tc>
      </w:tr>
      <w:tr>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suppressAutoHyphens w:val="0"/>
              <w:spacing w:after="0" w:afterAutospacing="0" w:line="360" w:lineRule="auto"/>
              <w:ind w:left="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auto"/>
                <w:kern w:val="2"/>
                <w:sz w:val="15"/>
                <w:szCs w:val="15"/>
              </w:rPr>
              <w:t>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60" w:lineRule="auto"/>
              <w:ind w:left="0" w:firstLine="130" w:firstLineChars="100"/>
              <w:rPr>
                <w:rFonts w:ascii="方正黑体_GBK" w:hAnsi="方正黑体_GBK" w:eastAsia="方正黑体_GBK"/>
                <w:vanish w:val="0"/>
                <w:color w:val="auto"/>
                <w:kern w:val="2"/>
                <w:sz w:val="15"/>
                <w:szCs w:val="15"/>
              </w:rPr>
            </w:pPr>
            <w:r>
              <w:rPr>
                <w:rFonts w:hint="eastAsia" w:ascii="方正黑体_GBK" w:hAnsi="方正黑体_GBK" w:eastAsia="方正黑体_GBK"/>
                <w:vanish w:val="0"/>
                <w:color w:val="3D3D3D"/>
                <w:kern w:val="0"/>
                <w:sz w:val="13"/>
                <w:szCs w:val="13"/>
              </w:rPr>
              <w:t>年</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月</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日</w:t>
            </w:r>
          </w:p>
        </w:tc>
      </w:tr>
      <w:tr>
        <w:trPr>
          <w:trHeight w:val="57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vanish w:val="0"/>
                <w:color w:val="auto"/>
                <w:kern w:val="2"/>
                <w:sz w:val="15"/>
                <w:szCs w:val="15"/>
              </w:rPr>
            </w:pPr>
            <w:r>
              <w:rPr>
                <w:rFonts w:hint="eastAsia" w:ascii="方正黑体_GBK" w:hAnsi="方正黑体_GBK" w:eastAsia="方正黑体_GBK"/>
                <w:b/>
                <w:bCs/>
                <w:vanish w:val="0"/>
                <w:color w:val="3D3D3D"/>
                <w:kern w:val="0"/>
                <w:sz w:val="15"/>
                <w:szCs w:val="15"/>
              </w:rPr>
              <w:t>机构投资者</w:t>
            </w:r>
          </w:p>
        </w:tc>
      </w:tr>
      <w:tr>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盖章（公章）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法定代表人或授权代理人（</w:t>
            </w:r>
            <w:r>
              <w:rPr>
                <w:rFonts w:hint="eastAsia" w:ascii="方正黑体_GBK" w:hAnsi="方正黑体_GBK" w:eastAsia="方正黑体_GBK" w:cs="Times New Roman"/>
                <w:b/>
                <w:bCs/>
                <w:vanish w:val="0"/>
                <w:color w:val="3D3D3D"/>
                <w:kern w:val="0"/>
                <w:sz w:val="15"/>
                <w:szCs w:val="15"/>
              </w:rPr>
              <w:t>签名</w:t>
            </w:r>
            <w:r>
              <w:rPr>
                <w:rFonts w:hint="eastAsia" w:ascii="方正黑体_GBK" w:hAnsi="方正黑体_GBK" w:eastAsia="方正黑体_GBK"/>
                <w:b/>
                <w:bCs/>
                <w:vanish w:val="0"/>
                <w:color w:val="3D3D3D"/>
                <w:kern w:val="0"/>
                <w:sz w:val="15"/>
                <w:szCs w:val="15"/>
              </w:rPr>
              <w:t>或盖章）：</w:t>
            </w:r>
            <w:r>
              <w:rPr>
                <w:rFonts w:ascii="方正黑体_GBK" w:hAnsi="方正黑体_GBK" w:eastAsia="方正黑体_GBK"/>
                <w:b/>
                <w:bCs/>
                <w:vanish w:val="0"/>
                <w:color w:val="3D3D3D"/>
                <w:kern w:val="0"/>
                <w:sz w:val="15"/>
                <w:szCs w:val="15"/>
              </w:rPr>
              <w:t xml:space="preserve"> </w:t>
            </w:r>
            <w:r>
              <w:rPr>
                <w:rFonts w:ascii="方正黑体_GBK" w:hAnsi="方正黑体_GBK" w:eastAsia="方正黑体_GBK"/>
                <w:b/>
                <w:bCs/>
                <w:vanish w:val="0"/>
                <w:color w:val="3D3D3D"/>
                <w:kern w:val="0"/>
                <w:sz w:val="15"/>
                <w:szCs w:val="15"/>
              </w:rPr>
              <w:tab/>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vanish w:val="0"/>
                <w:color w:val="3D3D3D"/>
                <w:kern w:val="0"/>
                <w:sz w:val="13"/>
                <w:szCs w:val="13"/>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vanish w:val="0"/>
                <w:color w:val="auto"/>
                <w:kern w:val="2"/>
                <w:sz w:val="15"/>
                <w:szCs w:val="15"/>
              </w:rPr>
            </w:pP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年</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月</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日</w:t>
            </w:r>
          </w:p>
        </w:tc>
      </w:tr>
      <w:tr>
        <w:trPr>
          <w:trHeight w:val="61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vanish w:val="0"/>
                <w:color w:val="auto"/>
                <w:kern w:val="2"/>
                <w:sz w:val="15"/>
                <w:szCs w:val="15"/>
              </w:rPr>
            </w:pPr>
            <w:r>
              <w:rPr>
                <w:rFonts w:hint="eastAsia" w:ascii="方正黑体_GBK" w:hAnsi="方正黑体_GBK" w:eastAsia="方正黑体_GBK"/>
                <w:b/>
                <w:bCs/>
                <w:vanish w:val="0"/>
                <w:color w:val="auto"/>
                <w:kern w:val="2"/>
                <w:sz w:val="15"/>
                <w:szCs w:val="15"/>
              </w:rPr>
              <w:t>电子</w:t>
            </w:r>
            <w:r>
              <w:rPr>
                <w:rFonts w:hint="eastAsia" w:ascii="方正黑体_GBK" w:hAnsi="方正黑体_GBK" w:eastAsia="方正黑体_GBK" w:cs="Times New Roman"/>
                <w:b/>
                <w:bCs/>
                <w:vanish w:val="0"/>
                <w:color w:val="auto"/>
                <w:kern w:val="2"/>
                <w:sz w:val="15"/>
                <w:szCs w:val="15"/>
              </w:rPr>
              <w:t>渠道</w:t>
            </w:r>
          </w:p>
        </w:tc>
      </w:tr>
      <w:tr>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firstLine="300" w:firstLineChars="200"/>
              <w:rPr>
                <w:rFonts w:ascii="方正黑体_GBK" w:hAnsi="方正黑体_GBK" w:eastAsia="方正黑体_GBK"/>
                <w:vanish w:val="0"/>
                <w:color w:val="auto"/>
                <w:kern w:val="2"/>
                <w:sz w:val="15"/>
                <w:szCs w:val="15"/>
              </w:rPr>
            </w:pPr>
            <w:r>
              <w:rPr>
                <w:rFonts w:hint="eastAsia" w:ascii="方正黑体_GBK" w:hAnsi="方正黑体_GBK" w:eastAsia="方正黑体_GBK"/>
                <w:b/>
                <w:bCs w:val="0"/>
                <w:vanish w:val="0"/>
                <w:color w:val="3D3D3D"/>
                <w:kern w:val="0"/>
                <w:sz w:val="15"/>
                <w:szCs w:val="15"/>
                <w:u w:val="single"/>
              </w:rPr>
              <w:t>如投资者通过电子</w:t>
            </w:r>
            <w:r>
              <w:rPr>
                <w:rFonts w:hint="eastAsia" w:ascii="方正黑体_GBK" w:hAnsi="方正黑体_GBK" w:eastAsia="方正黑体_GBK" w:cs="Times New Roman"/>
                <w:b/>
                <w:bCs w:val="0"/>
                <w:vanish w:val="0"/>
                <w:color w:val="3D3D3D"/>
                <w:kern w:val="0"/>
                <w:sz w:val="15"/>
                <w:szCs w:val="15"/>
                <w:u w:val="single"/>
              </w:rPr>
              <w:t>渠道</w:t>
            </w:r>
            <w:r>
              <w:rPr>
                <w:rFonts w:hint="eastAsia" w:ascii="方正黑体_GBK" w:hAnsi="方正黑体_GBK" w:eastAsia="方正黑体_GBK"/>
                <w:b/>
                <w:bCs w:val="0"/>
                <w:vanish w:val="0"/>
                <w:color w:val="3D3D3D"/>
                <w:kern w:val="0"/>
                <w:sz w:val="15"/>
                <w:szCs w:val="15"/>
                <w:u w:val="single"/>
              </w:rPr>
              <w:t>（包括但不限于网上银行、手机银行或官方网站等）购买本理财产品的，</w:t>
            </w:r>
            <w:r>
              <w:rPr>
                <w:rFonts w:hint="eastAsia" w:ascii="方正黑体_GBK" w:hAnsi="方正黑体_GBK" w:eastAsia="方正黑体_GBK"/>
                <w:vanish w:val="0"/>
                <w:spacing w:val="10"/>
                <w:kern w:val="2"/>
                <w:sz w:val="15"/>
                <w:szCs w:val="15"/>
              </w:rPr>
              <w:t>本风险揭示书以数据电文形式订立，</w:t>
            </w:r>
            <w:r>
              <w:rPr>
                <w:rFonts w:hint="eastAsia" w:ascii="方正黑体_GBK" w:hAnsi="方正黑体_GBK" w:eastAsia="方正黑体_GBK"/>
                <w:b/>
                <w:bCs w:val="0"/>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ascii="方正黑体_GBK" w:hAnsi="方正黑体_GBK" w:eastAsia="方正黑体_GBK"/>
                <w:b/>
                <w:bCs w:val="0"/>
                <w:vanish w:val="0"/>
                <w:color w:val="3D3D3D"/>
                <w:kern w:val="0"/>
                <w:sz w:val="15"/>
                <w:szCs w:val="15"/>
                <w:u w:val="single"/>
              </w:rPr>
              <w:t>即视为</w:t>
            </w:r>
            <w:r>
              <w:rPr>
                <w:rFonts w:hint="eastAsia" w:ascii="方正黑体_GBK" w:hAnsi="方正黑体_GBK" w:eastAsia="方正黑体_GBK" w:cs="Times New Roman"/>
                <w:b/>
                <w:bCs w:val="0"/>
                <w:vanish w:val="0"/>
                <w:color w:val="3D3D3D"/>
                <w:kern w:val="0"/>
                <w:sz w:val="15"/>
                <w:szCs w:val="15"/>
                <w:u w:val="single"/>
              </w:rPr>
              <w:t>投资者</w:t>
            </w:r>
            <w:r>
              <w:rPr>
                <w:rFonts w:hint="eastAsia" w:ascii="方正黑体_GBK" w:hAnsi="方正黑体_GBK" w:eastAsia="方正黑体_GBK"/>
                <w:b/>
                <w:bCs w:val="0"/>
                <w:vanish w:val="0"/>
                <w:color w:val="3D3D3D"/>
                <w:kern w:val="0"/>
                <w:sz w:val="15"/>
                <w:szCs w:val="15"/>
                <w:u w:val="single"/>
              </w:rPr>
              <w:t>确认其符合本理财产品的风险等级并自愿承担投资风险。</w:t>
            </w:r>
            <w:r>
              <w:rPr>
                <w:rFonts w:hint="eastAsia" w:ascii="方正黑体_GBK" w:hAnsi="方正黑体_GBK" w:eastAsia="方正黑体_GBK"/>
                <w:vanish w:val="0"/>
                <w:spacing w:val="10"/>
                <w:kern w:val="2"/>
                <w:sz w:val="15"/>
                <w:szCs w:val="15"/>
              </w:rPr>
              <w:t>电子</w:t>
            </w:r>
            <w:r>
              <w:rPr>
                <w:rFonts w:hint="eastAsia" w:ascii="方正黑体_GBK" w:hAnsi="方正黑体_GBK" w:eastAsia="方正黑体_GBK" w:cs="Times New Roman"/>
                <w:vanish w:val="0"/>
                <w:spacing w:val="10"/>
                <w:kern w:val="2"/>
                <w:sz w:val="15"/>
                <w:szCs w:val="15"/>
              </w:rPr>
              <w:t>渠道</w:t>
            </w:r>
            <w:r>
              <w:rPr>
                <w:rFonts w:hint="eastAsia" w:ascii="方正黑体_GBK" w:hAnsi="方正黑体_GBK" w:eastAsia="方正黑体_GBK"/>
                <w:vanish w:val="0"/>
                <w:spacing w:val="10"/>
                <w:kern w:val="2"/>
                <w:sz w:val="15"/>
                <w:szCs w:val="15"/>
              </w:rPr>
              <w:t>所生成和保留记载的相关电子数据及交易记录以及南银理财、</w:t>
            </w:r>
            <w:r>
              <w:rPr>
                <w:rFonts w:hint="eastAsia" w:ascii="方正黑体_GBK" w:hAnsi="方正黑体_GBK" w:eastAsia="方正黑体_GBK" w:cs="Times New Roman"/>
                <w:vanish w:val="0"/>
                <w:spacing w:val="10"/>
                <w:kern w:val="2"/>
                <w:sz w:val="15"/>
                <w:szCs w:val="15"/>
              </w:rPr>
              <w:t>销售机构</w:t>
            </w:r>
            <w:r>
              <w:rPr>
                <w:rFonts w:hint="eastAsia" w:ascii="方正黑体_GBK" w:hAnsi="方正黑体_GBK" w:eastAsia="方正黑体_GBK"/>
                <w:vanish w:val="0"/>
                <w:spacing w:val="10"/>
                <w:kern w:val="2"/>
                <w:sz w:val="15"/>
                <w:szCs w:val="15"/>
              </w:rPr>
              <w:t>、托管机构制作或保留的相关电子及纸质单据、凭证、记录等相关资料</w:t>
            </w:r>
            <w:r>
              <w:rPr>
                <w:rFonts w:hint="eastAsia" w:ascii="方正黑体_GBK" w:hAnsi="方正黑体_GBK" w:eastAsia="方正黑体_GBK" w:cs="Times New Roman"/>
                <w:vanish w:val="0"/>
                <w:spacing w:val="10"/>
                <w:kern w:val="2"/>
                <w:sz w:val="15"/>
                <w:szCs w:val="15"/>
              </w:rPr>
              <w:t>，</w:t>
            </w:r>
            <w:r>
              <w:rPr>
                <w:rFonts w:hint="eastAsia" w:ascii="方正黑体_GBK" w:hAnsi="方正黑体_GBK" w:eastAsia="方正黑体_GBK"/>
                <w:vanish w:val="0"/>
                <w:spacing w:val="10"/>
                <w:kern w:val="2"/>
                <w:sz w:val="15"/>
                <w:szCs w:val="15"/>
              </w:rPr>
              <w:t>构成有效证明投资者与南银理财双方之间权利义务关系的确定证据，投资者无条件认可电子数据的有效性和证据效力。</w:t>
            </w:r>
          </w:p>
        </w:tc>
      </w:tr>
    </w:tbl>
    <w:p>
      <w:r>
        <w:rPr>
          <w:rFonts w:ascii="方正黑体_GBK" w:hAnsi="方正黑体_GBK" w:eastAsia="方正黑体_GBK"/>
        </w:rPr>
        <w:br w:type="page"/>
      </w:r>
    </w:p>
    <w:p>
      <w:pPr>
        <w:pStyle w:val="3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ascii="方正黑体_GBK" w:hAnsi="方正黑体_GBK" w:eastAsia="方正黑体_GBK"/>
          <w:b/>
          <w:bCs/>
          <w:caps w:val="0"/>
          <w:smallCaps w:val="0"/>
          <w:snapToGrid/>
          <w:vanish w:val="0"/>
          <w:color w:val="auto"/>
          <w:kern w:val="0"/>
          <w:sz w:val="24"/>
          <w:szCs w:val="24"/>
          <w:vertAlign w:val="baseline"/>
        </w:rPr>
      </w:pPr>
      <w:r>
        <w:rPr>
          <w:rFonts w:ascii="方正黑体_GBK" w:hAnsi="方正黑体_GBK" w:eastAsia="方正黑体_GBK"/>
          <w:b/>
          <w:bCs/>
          <w:caps w:val="0"/>
          <w:smallCaps w:val="0"/>
          <w:snapToGrid/>
          <w:vanish w:val="0"/>
          <w:color w:val="auto"/>
          <w:kern w:val="0"/>
          <w:sz w:val="24"/>
          <w:szCs w:val="15"/>
          <w:vertAlign w:val="baseline"/>
        </w:rPr>
        <w:t xml:space="preserve"> </w:t>
      </w:r>
      <w:r>
        <w:rPr>
          <w:rFonts w:hint="eastAsia" w:ascii="方正黑体_GBK" w:hAnsi="方正黑体_GBK" w:eastAsia="方正黑体_GBK"/>
          <w:b/>
          <w:bCs/>
          <w:caps w:val="0"/>
          <w:smallCaps w:val="0"/>
          <w:snapToGrid/>
          <w:vanish w:val="0"/>
          <w:color w:val="auto"/>
          <w:kern w:val="0"/>
          <w:sz w:val="24"/>
          <w:szCs w:val="24"/>
          <w:vertAlign w:val="baseline"/>
        </w:rPr>
        <w:t>理财产品说明书</w:t>
      </w:r>
    </w:p>
    <w:p>
      <w:pPr>
        <w:pStyle w:val="3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ascii="方正黑体_GBK" w:hAnsi="方正黑体_GBK" w:eastAsia="方正黑体_GBK"/>
          <w:b/>
          <w:bCs/>
          <w:i/>
          <w:iCs/>
          <w:caps w:val="0"/>
          <w:smallCaps w:val="0"/>
          <w:snapToGrid/>
          <w:vanish w:val="0"/>
          <w:color w:val="auto"/>
          <w:kern w:val="0"/>
          <w:sz w:val="24"/>
          <w:szCs w:val="24"/>
          <w:u w:val="single"/>
          <w:vertAlign w:val="baseline"/>
        </w:rPr>
      </w:pPr>
      <w:r>
        <w:rPr>
          <w:rFonts w:ascii="方正黑体_GBK" w:hAnsi="方正黑体_GBK" w:eastAsia="方正黑体_GBK"/>
          <w:b/>
          <w:bCs/>
          <w:i/>
          <w:iCs/>
          <w:caps w:val="0"/>
          <w:smallCaps w:val="0"/>
          <w:snapToGrid/>
          <w:vanish w:val="0"/>
          <w:color w:val="auto"/>
          <w:kern w:val="0"/>
          <w:sz w:val="24"/>
          <w:szCs w:val="24"/>
          <w:u w:val="single"/>
          <w:vertAlign w:val="baseline"/>
        </w:rPr>
        <w:t>“</w:t>
      </w:r>
      <w:r>
        <w:rPr>
          <w:rFonts w:hint="eastAsia" w:ascii="方正黑体_GBK" w:hAnsi="方正黑体_GBK" w:eastAsia="方正黑体_GBK"/>
          <w:b/>
          <w:bCs/>
          <w:i/>
          <w:iCs/>
          <w:caps w:val="0"/>
          <w:smallCaps w:val="0"/>
          <w:snapToGrid/>
          <w:vanish w:val="0"/>
          <w:color w:val="auto"/>
          <w:kern w:val="0"/>
          <w:sz w:val="24"/>
          <w:szCs w:val="24"/>
          <w:u w:val="single"/>
          <w:vertAlign w:val="baseline"/>
        </w:rPr>
        <w:t>理财非存款、产品有风险、投资须谨慎</w:t>
      </w:r>
      <w:r>
        <w:rPr>
          <w:rFonts w:ascii="方正黑体_GBK" w:hAnsi="方正黑体_GBK" w:eastAsia="方正黑体_GBK"/>
          <w:b/>
          <w:bCs/>
          <w:i/>
          <w:iCs/>
          <w:caps w:val="0"/>
          <w:smallCaps w:val="0"/>
          <w:snapToGrid/>
          <w:vanish w:val="0"/>
          <w:color w:val="auto"/>
          <w:kern w:val="0"/>
          <w:sz w:val="24"/>
          <w:szCs w:val="24"/>
          <w:u w:val="single"/>
          <w:vertAlign w:val="baseline"/>
        </w:rPr>
        <w:t>”</w:t>
      </w:r>
      <w:r>
        <w:rPr>
          <w:rFonts w:hint="eastAsia" w:ascii="方正黑体_GBK" w:hAnsi="方正黑体_GBK" w:eastAsia="方正黑体_GBK"/>
          <w:b/>
          <w:bCs/>
          <w:i/>
          <w:iCs/>
          <w:caps w:val="0"/>
          <w:smallCaps w:val="0"/>
          <w:snapToGrid/>
          <w:vanish w:val="0"/>
          <w:color w:val="auto"/>
          <w:kern w:val="0"/>
          <w:sz w:val="24"/>
          <w:szCs w:val="24"/>
          <w:u w:val="single"/>
          <w:vertAlign w:val="baseline"/>
        </w:rPr>
        <w:t>！</w:t>
      </w:r>
    </w:p>
    <w:p>
      <w:pPr>
        <w:pStyle w:val="44"/>
        <w:keepNext w:val="0"/>
        <w:keepLines w:val="0"/>
        <w:pageBreakBefore w:val="0"/>
        <w:widowControl/>
        <w:suppressLineNumbers w:val="0"/>
        <w:suppressAutoHyphens w:val="0"/>
        <w:spacing w:line="200" w:lineRule="exact"/>
        <w:ind w:firstLine="0"/>
        <w:jc w:val="both"/>
        <w:textAlignment w:val="baseline"/>
        <w:rPr>
          <w:rFonts w:ascii="方正黑体_GBK" w:hAnsi="方正黑体_GBK" w:eastAsia="方正黑体_GBK"/>
          <w:b/>
          <w:bCs w:val="0"/>
          <w:caps w:val="0"/>
          <w:smallCaps w:val="0"/>
          <w:snapToGrid/>
          <w:vanish w:val="0"/>
          <w:color w:val="3D3D3D"/>
          <w:kern w:val="0"/>
          <w:sz w:val="15"/>
          <w:szCs w:val="15"/>
          <w:vertAlign w:val="baseline"/>
        </w:rPr>
      </w:pPr>
      <w:r>
        <w:rPr>
          <w:rFonts w:hint="eastAsia" w:ascii="方正黑体_GBK" w:hAnsi="方正黑体_GBK" w:eastAsia="方正黑体_GBK"/>
          <w:b/>
          <w:bCs w:val="0"/>
          <w:caps w:val="0"/>
          <w:smallCaps w:val="0"/>
          <w:snapToGrid/>
          <w:vanish w:val="0"/>
          <w:color w:val="3D3D3D"/>
          <w:kern w:val="0"/>
          <w:sz w:val="15"/>
          <w:szCs w:val="15"/>
          <w:vertAlign w:val="baseline"/>
        </w:rPr>
        <w:t>第一条</w:t>
      </w:r>
      <w:r>
        <w:rPr>
          <w:rFonts w:ascii="方正黑体_GBK" w:hAnsi="方正黑体_GBK" w:eastAsia="方正黑体_GBK" w:cs="Times New Roman"/>
          <w:b/>
          <w:bCs w:val="0"/>
          <w:caps w:val="0"/>
          <w:smallCaps w:val="0"/>
          <w:snapToGrid/>
          <w:vanish w:val="0"/>
          <w:color w:val="3D3D3D"/>
          <w:kern w:val="0"/>
          <w:sz w:val="15"/>
          <w:szCs w:val="15"/>
          <w:vertAlign w:val="baseline"/>
        </w:rPr>
        <w:t xml:space="preserve">  </w:t>
      </w:r>
      <w:r>
        <w:rPr>
          <w:rFonts w:hint="eastAsia" w:ascii="方正黑体_GBK" w:hAnsi="方正黑体_GBK" w:eastAsia="方正黑体_GBK"/>
          <w:b/>
          <w:bCs w:val="0"/>
          <w:caps w:val="0"/>
          <w:smallCaps w:val="0"/>
          <w:snapToGrid/>
          <w:vanish w:val="0"/>
          <w:color w:val="3D3D3D"/>
          <w:kern w:val="0"/>
          <w:sz w:val="15"/>
          <w:szCs w:val="15"/>
          <w:vertAlign w:val="baseline"/>
        </w:rPr>
        <w:t>产品基本要素</w:t>
      </w:r>
    </w:p>
    <w:tbl>
      <w:tblPr>
        <w:tblStyle w:val="14"/>
        <w:tblW w:w="781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
      <w:tblGrid>
        <w:gridCol w:w="2272"/>
        <w:gridCol w:w="5543"/>
      </w:tblGrid>
      <w:tr>
        <w:trPr>
          <w:trHeight w:val="340" w:hRule="atLeast"/>
          <w:jc w:val="center"/>
          <w:hidden/>
        </w:trPr>
        <w:tc>
          <w:tcPr>
            <w:tcW w:w="2272" w:type="dxa"/>
            <w:tcBorders>
              <w:top w:val="single" w:color="auto" w:sz="4" w:space="0"/>
              <w:left w:val="single" w:color="auto" w:sz="4" w:space="0"/>
              <w:bottom w:val="single" w:color="auto" w:sz="2"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产品名称</w:t>
            </w:r>
          </w:p>
        </w:tc>
        <w:tc>
          <w:tcPr>
            <w:tcW w:w="5543" w:type="dxa"/>
            <w:tcBorders>
              <w:top w:val="single" w:color="auto" w:sz="4" w:space="0"/>
              <w:left w:val="nil"/>
              <w:bottom w:val="single" w:color="auto" w:sz="2"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南银理财鼎瑞悦稳（最低持有7天）7号公募人民币理财产品</w:t>
            </w:r>
          </w:p>
        </w:tc>
      </w:tr>
      <w:tr>
        <w:trPr>
          <w:trHeight w:val="340" w:hRule="atLeast"/>
          <w:jc w:val="center"/>
          <w:hidden/>
        </w:trPr>
        <w:tc>
          <w:tcPr>
            <w:tcW w:w="2272"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产品类型</w:t>
            </w:r>
          </w:p>
        </w:tc>
        <w:tc>
          <w:tcPr>
            <w:tcW w:w="554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开放式、固定收益类、公募、净值型</w:t>
            </w:r>
          </w:p>
        </w:tc>
      </w:tr>
      <w:tr>
        <w:trPr>
          <w:trHeight w:val="340" w:hRule="atLeast"/>
          <w:jc w:val="center"/>
          <w:hidden/>
        </w:trPr>
        <w:tc>
          <w:tcPr>
            <w:tcW w:w="2272"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募集方式</w:t>
            </w:r>
          </w:p>
        </w:tc>
        <w:tc>
          <w:tcPr>
            <w:tcW w:w="554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公开募集</w:t>
            </w:r>
          </w:p>
        </w:tc>
      </w:tr>
      <w:tr>
        <w:trPr>
          <w:trHeight w:val="340" w:hRule="atLeast"/>
          <w:jc w:val="center"/>
          <w:hidden/>
        </w:trPr>
        <w:tc>
          <w:tcPr>
            <w:tcW w:w="2272" w:type="dxa"/>
            <w:tcBorders>
              <w:top w:val="single" w:color="auto" w:sz="2"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理财产品代码</w:t>
            </w:r>
          </w:p>
        </w:tc>
        <w:tc>
          <w:tcPr>
            <w:tcW w:w="5543" w:type="dxa"/>
            <w:tcBorders>
              <w:top w:val="single" w:color="auto" w:sz="2"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ZZ700322400530</w:t>
            </w:r>
          </w:p>
        </w:tc>
      </w:tr>
      <w:tr>
        <w:trPr>
          <w:trHeight w:val="425"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产品登记编码</w:t>
            </w:r>
          </w:p>
        </w:tc>
        <w:tc>
          <w:tcPr>
            <w:tcW w:w="5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宋体"/>
                <w:caps w:val="0"/>
                <w:smallCaps w:val="0"/>
                <w:snapToGrid/>
                <w:vanish w:val="0"/>
                <w:color w:val="auto"/>
                <w:kern w:val="0"/>
                <w:sz w:val="18"/>
                <w:szCs w:val="18"/>
                <w:vertAlign w:val="baseline"/>
              </w:rPr>
              <w:t>Z7003224000253(投资者可依据该编码在中国理财网www.chinawealth.com.cn查询理财产品相关信息）</w:t>
            </w:r>
          </w:p>
        </w:tc>
      </w:tr>
      <w:tr>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内部销售代码</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A份额：A32049</w:t>
            </w:r>
          </w:p>
          <w:p>
            <w:pPr>
              <w:spacing w:line="200" w:lineRule="exact"/>
            </w:pPr>
            <w:r>
              <w:rPr>
                <w:rFonts w:ascii="方正黑体_GBK" w:hAnsi="方正黑体_GBK" w:eastAsia="方正黑体_GBK" w:cs="宋体"/>
                <w:sz w:val="18"/>
                <w:szCs w:val="18"/>
              </w:rPr>
              <w:t>B份额：A32056</w:t>
            </w:r>
          </w:p>
          <w:p>
            <w:pPr>
              <w:spacing w:line="200" w:lineRule="exact"/>
            </w:pPr>
            <w:r>
              <w:rPr>
                <w:rFonts w:ascii="方正黑体_GBK" w:hAnsi="方正黑体_GBK" w:eastAsia="方正黑体_GBK" w:cs="宋体"/>
                <w:b/>
                <w:sz w:val="18"/>
                <w:szCs w:val="18"/>
              </w:rPr>
              <w:t>注：本产品不同份额针对不同的销售机构及客群进行销售，具体客群划分标准以销售机构为准。</w:t>
            </w:r>
          </w:p>
        </w:tc>
      </w:tr>
      <w:tr>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ascii="方正黑体_GBK" w:hAnsi="方正黑体_GBK" w:eastAsia="方正黑体_GBK"/>
                <w:caps w:val="0"/>
                <w:smallCaps w:val="0"/>
                <w:snapToGrid/>
                <w:vanish w:val="0"/>
                <w:color w:val="auto"/>
                <w:kern w:val="0"/>
                <w:sz w:val="18"/>
                <w:szCs w:val="18"/>
                <w:vertAlign w:val="baseline"/>
              </w:rPr>
              <w:t>理财期限</w:t>
            </w:r>
          </w:p>
        </w:tc>
        <w:tc>
          <w:tcPr>
            <w:tcW w:w="5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textAlignment w:val="center"/>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sz w:val="18"/>
                <w:szCs w:val="18"/>
              </w:rPr>
              <w:t>10年</w:t>
            </w:r>
            <w:r>
              <w:rPr>
                <w:rFonts w:hint="eastAsia" w:ascii="方正黑体_GBK" w:hAnsi="方正黑体_GBK" w:eastAsia="方正黑体_GBK" w:cs="宋体"/>
                <w:kern w:val="0"/>
                <w:sz w:val="18"/>
                <w:szCs w:val="18"/>
                <w:lang w:val="en-US" w:eastAsia="zh-CN"/>
              </w:rPr>
              <w:t>（管理人有权提前终止或延期终止）</w:t>
            </w:r>
          </w:p>
        </w:tc>
      </w:tr>
      <w:tr>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销售区域</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全国</w:t>
            </w:r>
          </w:p>
        </w:tc>
      </w:tr>
      <w:tr>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币种</w:t>
            </w:r>
          </w:p>
        </w:tc>
        <w:tc>
          <w:tcPr>
            <w:tcW w:w="5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textAlignment w:val="center"/>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kern w:val="0"/>
                <w:sz w:val="18"/>
                <w:szCs w:val="18"/>
              </w:rPr>
              <w:t>人民币</w:t>
            </w:r>
          </w:p>
        </w:tc>
      </w:tr>
      <w:tr>
        <w:trPr>
          <w:trHeight w:val="50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产品规模</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本理财产品规模上限为1000亿元。理财产品管理人有权对上述规模上限根据实际业务需求进行调整。</w:t>
            </w:r>
          </w:p>
        </w:tc>
      </w:tr>
      <w:tr>
        <w:trPr>
          <w:trHeight w:val="50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风险等级</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根据理财产品管理人对理财产品的内部风险评估，本理财产品风险等级为</w:t>
            </w:r>
            <w:r>
              <w:rPr>
                <w:rFonts w:ascii="方正黑体_GBK" w:hAnsi="方正黑体_GBK" w:eastAsia="方正黑体_GBK" w:cs="宋体"/>
                <w:b/>
                <w:sz w:val="18"/>
                <w:szCs w:val="18"/>
              </w:rPr>
              <w:t>中低风险</w:t>
            </w:r>
            <w:r>
              <w:rPr>
                <w:rFonts w:ascii="方正黑体_GBK" w:hAnsi="方正黑体_GBK" w:eastAsia="方正黑体_GBK" w:cs="宋体"/>
                <w:sz w:val="18"/>
                <w:szCs w:val="18"/>
              </w:rPr>
              <w:t>（本风险等级为管理人内部风险评估结果，仅供参考）。</w:t>
            </w:r>
          </w:p>
          <w:p>
            <w:pPr>
              <w:spacing w:line="200" w:lineRule="exact"/>
            </w:pPr>
            <w:r>
              <w:rPr>
                <w:rFonts w:ascii="方正黑体_GBK" w:hAnsi="方正黑体_GBK" w:eastAsia="方正黑体_GBK"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trPr>
          <w:trHeight w:val="43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发行对象</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color w:val="000000"/>
                <w:sz w:val="18"/>
                <w:szCs w:val="18"/>
              </w:rPr>
              <w:t>符合相关法律法规、监管规定要求的，经销售机构的风险承受能力评估体系评定为适合的个人和机构投资者。</w:t>
            </w:r>
          </w:p>
          <w:p>
            <w:pPr>
              <w:spacing w:line="200" w:lineRule="exact"/>
            </w:pPr>
            <w:r>
              <w:rPr>
                <w:rFonts w:ascii="方正黑体_GBK" w:hAnsi="方正黑体_GBK" w:eastAsia="方正黑体_GBK" w:cs="宋体"/>
                <w:sz w:val="18"/>
                <w:szCs w:val="18"/>
              </w:rPr>
              <w:t>A份额：南京银行股份有限公司客户（新客或新资金（5万）或代发客户等）、南银理财有限责任公司客户。</w:t>
            </w:r>
          </w:p>
          <w:p>
            <w:pPr>
              <w:spacing w:line="200" w:lineRule="exact"/>
            </w:pPr>
            <w:r>
              <w:rPr>
                <w:rFonts w:ascii="方正黑体_GBK" w:hAnsi="方正黑体_GBK" w:eastAsia="方正黑体_GBK" w:cs="宋体"/>
                <w:sz w:val="18"/>
                <w:szCs w:val="18"/>
              </w:rPr>
              <w:t>B份额：南银理财有限责任公司、齐鲁银行股份有限公司、九江银行股份有限公司、甘肃银行股份有限公司、兰州银行股份有限公司客户。</w:t>
            </w:r>
          </w:p>
          <w:p>
            <w:pPr>
              <w:spacing w:line="200" w:lineRule="exact"/>
            </w:pPr>
            <w:r>
              <w:rPr>
                <w:rFonts w:ascii="方正黑体_GBK" w:hAnsi="方正黑体_GBK" w:eastAsia="方正黑体_GBK" w:cs="宋体"/>
                <w:b/>
                <w:sz w:val="18"/>
                <w:szCs w:val="18"/>
              </w:rPr>
              <w:t>注：本产品不同份额针对不同的销售机构及客群进行销售，具体客群划分标准以销售机构为准。</w:t>
            </w:r>
          </w:p>
          <w:p>
            <w:pPr>
              <w:spacing w:line="200" w:lineRule="exact"/>
            </w:pPr>
            <w:r>
              <w:rPr>
                <w:rFonts w:ascii="方正黑体_GBK" w:hAnsi="方正黑体_GBK" w:eastAsia="方正黑体_GBK" w:cs="宋体"/>
                <w:sz w:val="18"/>
                <w:szCs w:val="18"/>
              </w:rPr>
              <w:t>南京银行股份有限公司新客或新资金（5万）或代发客户：新客是指2024年理财年日均余额为0的客户。新资金（5万）是指金融资产余额较上月月日均增长5万元及以上的客户。代发是指近90天内有过代发记录的客户（不含跨行代发、批量兑付、批量付息）。</w:t>
            </w:r>
          </w:p>
        </w:tc>
      </w:tr>
      <w:tr>
        <w:trPr>
          <w:trHeight w:val="41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投资起点金额、递增金额</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A份额/B份额：</w:t>
            </w:r>
          </w:p>
          <w:p>
            <w:pPr>
              <w:spacing w:line="200" w:lineRule="exact"/>
            </w:pPr>
            <w:r>
              <w:rPr>
                <w:rFonts w:ascii="方正黑体_GBK" w:hAnsi="方正黑体_GBK" w:eastAsia="方正黑体_GBK" w:cs="宋体"/>
                <w:sz w:val="18"/>
                <w:szCs w:val="18"/>
              </w:rPr>
              <w:t>个人投资者投资起点金额1元人民币，以1元的整数倍递增；</w:t>
            </w:r>
          </w:p>
          <w:p>
            <w:pPr>
              <w:spacing w:line="200" w:lineRule="exact"/>
            </w:pPr>
            <w:r>
              <w:rPr>
                <w:rFonts w:ascii="方正黑体_GBK" w:hAnsi="方正黑体_GBK" w:eastAsia="方正黑体_GBK" w:cs="宋体"/>
                <w:sz w:val="18"/>
                <w:szCs w:val="18"/>
              </w:rPr>
              <w:t>机构投资者投资起点金额1元人民币，以1元的整数倍递增；</w:t>
            </w:r>
          </w:p>
          <w:p>
            <w:pPr>
              <w:spacing w:line="200" w:lineRule="exact"/>
            </w:pPr>
            <w:r>
              <w:rPr>
                <w:rFonts w:ascii="方正黑体_GBK" w:hAnsi="方正黑体_GBK" w:eastAsia="方正黑体_GBK" w:cs="宋体"/>
                <w:sz w:val="18"/>
                <w:szCs w:val="18"/>
              </w:rPr>
              <w:t>后续在符合监管政策规定的条件下，理财产品管理人有权对上述投资起点金额和递增金额进行调整，并在调整日前至少3个工作日进行信息披露。</w:t>
            </w:r>
          </w:p>
          <w:p>
            <w:pPr>
              <w:spacing w:line="200" w:lineRule="exact"/>
            </w:pPr>
            <w:r>
              <w:rPr>
                <w:rFonts w:ascii="方正黑体_GBK" w:hAnsi="方正黑体_GBK" w:eastAsia="方正黑体_GBK" w:cs="宋体"/>
                <w:sz w:val="18"/>
                <w:szCs w:val="18"/>
              </w:rPr>
              <w:t>代销机构可根据其销售需要对投资起点金额、递增金额进行重新设定，投资者通过代销机构购买本理财产品的，以该代销机构最终披露的投资起点金额、递增金额为准。</w:t>
            </w:r>
          </w:p>
        </w:tc>
      </w:tr>
      <w:tr>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ascii="方正黑体_GBK" w:hAnsi="方正黑体_GBK" w:eastAsia="方正黑体_GBK"/>
                <w:caps w:val="0"/>
                <w:smallCaps w:val="0"/>
                <w:snapToGrid/>
                <w:vanish w:val="0"/>
                <w:color w:val="auto"/>
                <w:kern w:val="0"/>
                <w:sz w:val="18"/>
                <w:szCs w:val="18"/>
                <w:vertAlign w:val="baseline"/>
              </w:rPr>
              <w:t>单个投资者持有金额上限</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A份额/B份额：</w:t>
            </w:r>
          </w:p>
          <w:p>
            <w:pPr>
              <w:spacing w:line="200" w:lineRule="exact"/>
            </w:pPr>
            <w:r>
              <w:rPr>
                <w:rFonts w:ascii="方正黑体_GBK" w:hAnsi="方正黑体_GBK" w:eastAsia="方正黑体_GBK" w:cs="宋体"/>
                <w:sz w:val="18"/>
                <w:szCs w:val="18"/>
              </w:rPr>
              <w:t>个人投资者：单个投资者持有金额上限1亿；</w:t>
            </w:r>
          </w:p>
          <w:p>
            <w:pPr>
              <w:spacing w:line="200" w:lineRule="exact"/>
            </w:pPr>
            <w:r>
              <w:rPr>
                <w:rFonts w:ascii="方正黑体_GBK" w:hAnsi="方正黑体_GBK" w:eastAsia="方正黑体_GBK" w:cs="宋体"/>
                <w:sz w:val="18"/>
                <w:szCs w:val="18"/>
              </w:rPr>
              <w:t>机构投资者：单个投资者持有金额上限1亿；</w:t>
            </w:r>
          </w:p>
          <w:p>
            <w:pPr>
              <w:spacing w:line="200" w:lineRule="exact"/>
              <w:jc w:val="left"/>
            </w:pPr>
            <w:r>
              <w:rPr>
                <w:rFonts w:ascii="方正黑体_GBK" w:hAnsi="方正黑体_GBK" w:eastAsia="方正黑体_GBK" w:cs="宋体"/>
                <w:sz w:val="18"/>
                <w:szCs w:val="18"/>
              </w:rPr>
              <w:t>注：1.管理人有权对上述单个投资者持有金额上限进行调整或取消，并在调整或取消前至少3个工作日公告。</w:t>
            </w:r>
          </w:p>
          <w:p>
            <w:pPr>
              <w:spacing w:line="200" w:lineRule="exact"/>
              <w:jc w:val="left"/>
            </w:pPr>
            <w:r>
              <w:rPr>
                <w:rFonts w:ascii="方正黑体_GBK" w:hAnsi="方正黑体_GBK" w:eastAsia="方正黑体_GBK" w:cs="宋体"/>
                <w:sz w:val="18"/>
                <w:szCs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单一投资者持有比例上限</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sz w:val="18"/>
                <w:szCs w:val="18"/>
              </w:rPr>
              <w:t>本理财产品单一投资者持有的份额（含已确认和待确认的份额）不得超过本理财产品总份额的50%，管理人有权拒绝导致投资者持有份额突破前述50%比例限制的认申购申请。</w:t>
            </w:r>
          </w:p>
          <w:p>
            <w:pPr>
              <w:spacing w:line="200" w:lineRule="exact"/>
              <w:jc w:val="left"/>
            </w:pPr>
            <w:r>
              <w:rPr>
                <w:rFonts w:ascii="方正黑体_GBK" w:hAnsi="方正黑体_GBK" w:eastAsia="方正黑体_GBK" w:cs="宋体"/>
                <w:sz w:val="18"/>
                <w:szCs w:val="18"/>
              </w:rPr>
              <w:t>非因管理人主观因素导致突破上述50%比例限制的，在单一投资者持有比例降至50%以下之前，管理人不再接受该投资者对本理财产品的认申购申请。</w:t>
            </w:r>
          </w:p>
        </w:tc>
      </w:tr>
      <w:tr>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spacing w:line="200" w:lineRule="exact"/>
              <w:jc w:val="left"/>
              <w:rPr>
                <w:rFonts w:ascii="方正黑体_GBK" w:hAnsi="方正黑体_GBK" w:eastAsia="方正黑体_GBK" w:cs="Times New Roman"/>
                <w:caps w:val="0"/>
                <w:smallCaps w:val="0"/>
                <w:snapToGrid/>
                <w:vanish w:val="0"/>
                <w:color w:val="auto"/>
                <w:kern w:val="0"/>
                <w:sz w:val="18"/>
                <w:szCs w:val="18"/>
                <w:vertAlign w:val="baseline"/>
              </w:rPr>
            </w:pPr>
            <w:r>
              <w:rPr>
                <w:rFonts w:ascii="方正黑体_GBK" w:hAnsi="方正黑体_GBK" w:eastAsia="方正黑体_GBK" w:cs="Times New Roman"/>
                <w:caps w:val="0"/>
                <w:smallCaps w:val="0"/>
                <w:snapToGrid/>
                <w:vanish w:val="0"/>
                <w:color w:val="auto"/>
                <w:kern w:val="0"/>
                <w:sz w:val="18"/>
                <w:szCs w:val="18"/>
                <w:vertAlign w:val="baseline"/>
              </w:rPr>
              <w:t>单日单户赎回份额上限</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sz w:val="18"/>
                <w:szCs w:val="18"/>
              </w:rPr>
              <w:t>单日单户赎回份额上限，是指单个投资者在最近一个产品开放日17：00（不含）至下一产品开放日17：00（含）之间发起的净赎回总份额上限。</w:t>
            </w:r>
          </w:p>
          <w:p>
            <w:pPr>
              <w:spacing w:line="200" w:lineRule="exact"/>
            </w:pPr>
            <w:r>
              <w:rPr>
                <w:rFonts w:ascii="方正黑体_GBK" w:hAnsi="方正黑体_GBK" w:eastAsia="方正黑体_GBK" w:cs="宋体"/>
                <w:sz w:val="18"/>
                <w:szCs w:val="18"/>
              </w:rPr>
              <w:t>A份额/B份额：</w:t>
            </w:r>
          </w:p>
          <w:p>
            <w:pPr>
              <w:spacing w:line="200" w:lineRule="exact"/>
            </w:pPr>
            <w:r>
              <w:rPr>
                <w:rFonts w:ascii="方正黑体_GBK" w:hAnsi="方正黑体_GBK" w:eastAsia="方正黑体_GBK" w:cs="宋体"/>
                <w:sz w:val="18"/>
                <w:szCs w:val="18"/>
              </w:rPr>
              <w:t>个人投资者：单日单户赎回份额上限为1亿份；</w:t>
            </w:r>
          </w:p>
          <w:p>
            <w:pPr>
              <w:spacing w:line="200" w:lineRule="exact"/>
            </w:pPr>
            <w:r>
              <w:rPr>
                <w:rFonts w:ascii="方正黑体_GBK" w:hAnsi="方正黑体_GBK" w:eastAsia="方正黑体_GBK" w:cs="宋体"/>
                <w:sz w:val="18"/>
                <w:szCs w:val="18"/>
              </w:rPr>
              <w:t>机构投资者：单日单户赎回份额上限为1亿份；</w:t>
            </w:r>
          </w:p>
          <w:p>
            <w:pPr>
              <w:spacing w:line="200" w:lineRule="exact"/>
            </w:pPr>
            <w:r>
              <w:rPr>
                <w:rFonts w:ascii="方正黑体_GBK" w:hAnsi="方正黑体_GBK" w:eastAsia="方正黑体_GBK" w:cs="宋体"/>
                <w:sz w:val="18"/>
                <w:szCs w:val="18"/>
              </w:rPr>
              <w:t>注：1.该单日单户赎回份额上限管理人有权进行调整或取消，并在调整或取消前至少3个工作日公告。</w:t>
            </w:r>
          </w:p>
          <w:p>
            <w:pPr>
              <w:spacing w:line="200" w:lineRule="exact"/>
            </w:pPr>
            <w:r>
              <w:rPr>
                <w:rFonts w:ascii="方正黑体_GBK" w:hAnsi="方正黑体_GBK" w:eastAsia="方正黑体_GBK" w:cs="宋体"/>
                <w:b/>
                <w:sz w:val="18"/>
                <w:szCs w:val="18"/>
              </w:rPr>
              <w:t>2.当投资者发起的最近一笔赎回申请超过投资者单日单户赎回份额上限时，销售机构或管理人有权拒绝投资者该笔赎回申请，投资者需重新进行资金安排。</w:t>
            </w:r>
          </w:p>
        </w:tc>
      </w:tr>
      <w:tr>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募集期</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color w:val="000000"/>
                <w:sz w:val="18"/>
                <w:szCs w:val="18"/>
              </w:rPr>
              <w:t>2024年11月04日 09:00—2024年11月05日 17:00（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spacing w:line="200" w:lineRule="exact"/>
              <w:jc w:val="left"/>
              <w:rPr>
                <w:rFonts w:ascii="方正黑体_GBK" w:hAnsi="方正黑体_GBK" w:eastAsia="方正黑体_GBK"/>
                <w:caps w:val="0"/>
                <w:smallCaps w:val="0"/>
                <w:snapToGrid/>
                <w:vanish w:val="0"/>
                <w:color w:val="auto"/>
                <w:kern w:val="0"/>
                <w:sz w:val="18"/>
                <w:szCs w:val="18"/>
                <w:vertAlign w:val="baseline"/>
              </w:rPr>
            </w:pPr>
            <w:r>
              <w:rPr>
                <w:rFonts w:ascii="方正黑体_GBK" w:hAnsi="方正黑体_GBK" w:eastAsia="方正黑体_GBK"/>
                <w:caps w:val="0"/>
                <w:smallCaps w:val="0"/>
                <w:snapToGrid/>
                <w:vanish w:val="0"/>
                <w:color w:val="auto"/>
                <w:kern w:val="0"/>
                <w:sz w:val="18"/>
                <w:szCs w:val="18"/>
                <w:vertAlign w:val="baseline"/>
              </w:rPr>
              <w:t>认购份额计算</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认购份额=确认认购金额/1。（认购份额以去尾法保留两位小数）</w:t>
            </w:r>
          </w:p>
        </w:tc>
      </w:tr>
      <w:tr>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认购确认日</w:t>
            </w:r>
          </w:p>
        </w:tc>
        <w:tc>
          <w:tcPr>
            <w:tcW w:w="5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rPr>
                <w:rFonts w:ascii="方正黑体_GBK" w:hAnsi="方正黑体_GBK" w:eastAsia="方正黑体_GBK"/>
                <w:color w:val="000000"/>
                <w:kern w:val="0"/>
                <w:sz w:val="18"/>
                <w:szCs w:val="18"/>
              </w:rPr>
            </w:pPr>
            <w:r>
              <w:rPr>
                <w:rFonts w:hint="eastAsia" w:ascii="方正黑体_GBK" w:hAnsi="方正黑体_GBK" w:eastAsia="方正黑体_GBK"/>
                <w:color w:val="000000"/>
                <w:kern w:val="0"/>
                <w:sz w:val="18"/>
                <w:szCs w:val="18"/>
              </w:rPr>
              <w:t>同产品成立日</w:t>
            </w:r>
          </w:p>
        </w:tc>
      </w:tr>
      <w:tr>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产品成立日</w:t>
            </w:r>
          </w:p>
        </w:tc>
        <w:tc>
          <w:tcPr>
            <w:tcW w:w="5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pPr>
            <w:r>
              <w:rPr>
                <w:rFonts w:hint="eastAsia" w:ascii="方正黑体_GBK" w:hAnsi="方正黑体_GBK" w:eastAsia="方正黑体_GBK"/>
                <w:kern w:val="0"/>
                <w:sz w:val="18"/>
                <w:szCs w:val="18"/>
              </w:rPr>
              <w:t>2024年11月06日</w:t>
            </w:r>
          </w:p>
        </w:tc>
      </w:tr>
      <w:tr>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产品存续期</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2024年11月06日—实际到期日（若本理财产品未被提前终止或延期终止，则实际到期日即为名义到期日，存续期限10年；若本理财产品被提前终止或延期终止，则实际到期日为提前终止日或延期终止日。</w:t>
            </w:r>
            <w:r>
              <w:rPr>
                <w:rFonts w:ascii="方正黑体_GBK" w:hAnsi="方正黑体_GBK" w:eastAsia="方正黑体_GBK" w:cs="宋体"/>
                <w:b/>
                <w:sz w:val="18"/>
                <w:szCs w:val="18"/>
              </w:rPr>
              <w:t>理财产品管理人有权根据市场变化情况调整产品存续期，届时管理人将调整相关日期并进行信息披露。）</w:t>
            </w:r>
          </w:p>
        </w:tc>
      </w:tr>
      <w:tr>
        <w:trPr>
          <w:trHeight w:val="525"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名义到期日</w:t>
            </w:r>
          </w:p>
        </w:tc>
        <w:tc>
          <w:tcPr>
            <w:tcW w:w="5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2034年12月29日</w:t>
            </w:r>
            <w:r>
              <w:rPr>
                <w:rFonts w:hint="eastAsia" w:ascii="方正黑体_GBK" w:hAnsi="方正黑体_GBK" w:eastAsia="方正黑体_GBK" w:cs="Times New Roman"/>
                <w:b/>
                <w:bCs/>
                <w:caps w:val="0"/>
                <w:smallCaps w:val="0"/>
                <w:snapToGrid/>
                <w:vanish w:val="0"/>
                <w:color w:val="auto"/>
                <w:kern w:val="0"/>
                <w:sz w:val="18"/>
                <w:szCs w:val="18"/>
                <w:vertAlign w:val="baseline"/>
              </w:rPr>
              <w:t>（如遇国家法定节假日，管理人可结合国家法定节假日安排进行调整，并进行</w:t>
            </w:r>
            <w:r>
              <w:rPr>
                <w:rFonts w:hint="eastAsia" w:ascii="方正黑体_GBK" w:hAnsi="方正黑体_GBK" w:eastAsia="方正黑体_GBK"/>
                <w:b/>
                <w:bCs/>
                <w:caps w:val="0"/>
                <w:smallCaps w:val="0"/>
                <w:snapToGrid/>
                <w:vanish w:val="0"/>
                <w:color w:val="auto"/>
                <w:kern w:val="0"/>
                <w:sz w:val="18"/>
                <w:szCs w:val="18"/>
                <w:vertAlign w:val="baseline"/>
              </w:rPr>
              <w:t>信息披露</w:t>
            </w:r>
            <w:r>
              <w:rPr>
                <w:rFonts w:hint="eastAsia" w:ascii="方正黑体_GBK" w:hAnsi="方正黑体_GBK" w:eastAsia="方正黑体_GBK" w:cs="Times New Roman"/>
                <w:b/>
                <w:bCs/>
                <w:caps w:val="0"/>
                <w:smallCaps w:val="0"/>
                <w:snapToGrid/>
                <w:vanish w:val="0"/>
                <w:color w:val="auto"/>
                <w:kern w:val="0"/>
                <w:sz w:val="18"/>
                <w:szCs w:val="18"/>
                <w:vertAlign w:val="baseline"/>
              </w:rPr>
              <w:t>）</w:t>
            </w:r>
          </w:p>
        </w:tc>
      </w:tr>
      <w:tr>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ascii="方正黑体_GBK" w:hAnsi="方正黑体_GBK" w:eastAsia="方正黑体_GBK"/>
                <w:caps w:val="0"/>
                <w:smallCaps w:val="0"/>
                <w:snapToGrid/>
                <w:vanish w:val="0"/>
                <w:color w:val="auto"/>
                <w:kern w:val="0"/>
                <w:sz w:val="18"/>
                <w:szCs w:val="18"/>
                <w:vertAlign w:val="baseline"/>
              </w:rPr>
              <w:t>申购规则</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b/>
                <w:sz w:val="18"/>
                <w:szCs w:val="18"/>
              </w:rPr>
              <w:t>产品开放日17:00（含）前的申购于当日受理，其他时间的申购于下一产品开放日受理。</w:t>
            </w:r>
            <w:r>
              <w:rPr>
                <w:rFonts w:ascii="方正黑体_GBK" w:hAnsi="方正黑体_GBK" w:eastAsia="方正黑体_GBK" w:cs="宋体"/>
                <w:sz w:val="18"/>
                <w:szCs w:val="18"/>
              </w:rPr>
              <w:t>上述申购规则如下（系统批处理时间内无法操作）：</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1795"/>
              <w:gridCol w:w="1795"/>
              <w:gridCol w:w="1795"/>
            </w:tblGrid>
            <w:tr>
              <w:tc>
                <w:tcPr>
                  <w:tcW w:w="1795" w:type="dxa"/>
                </w:tcPr>
                <w:p>
                  <w:pPr>
                    <w:spacing w:line="200" w:lineRule="exact"/>
                  </w:pPr>
                  <w:r>
                    <w:rPr>
                      <w:rFonts w:ascii="方正黑体_GBK" w:hAnsi="方正黑体_GBK" w:eastAsia="方正黑体_GBK" w:cs="宋体"/>
                      <w:sz w:val="18"/>
                      <w:szCs w:val="18"/>
                    </w:rPr>
                    <w:t>申购时间</w:t>
                  </w:r>
                </w:p>
              </w:tc>
              <w:tc>
                <w:tcPr>
                  <w:tcW w:w="1795" w:type="dxa"/>
                </w:tcPr>
                <w:p>
                  <w:pPr>
                    <w:spacing w:line="200" w:lineRule="exact"/>
                  </w:pPr>
                  <w:r>
                    <w:rPr>
                      <w:rFonts w:ascii="方正黑体_GBK" w:hAnsi="方正黑体_GBK" w:eastAsia="方正黑体_GBK" w:cs="宋体"/>
                      <w:sz w:val="18"/>
                      <w:szCs w:val="18"/>
                    </w:rPr>
                    <w:t>申购受理日</w:t>
                  </w:r>
                </w:p>
              </w:tc>
              <w:tc>
                <w:tcPr>
                  <w:tcW w:w="1795" w:type="dxa"/>
                </w:tcPr>
                <w:p>
                  <w:pPr>
                    <w:spacing w:line="200" w:lineRule="exact"/>
                  </w:pPr>
                  <w:r>
                    <w:rPr>
                      <w:rFonts w:ascii="方正黑体_GBK" w:hAnsi="方正黑体_GBK" w:eastAsia="方正黑体_GBK" w:cs="宋体"/>
                      <w:sz w:val="18"/>
                      <w:szCs w:val="18"/>
                    </w:rPr>
                    <w:t>份额运作起始日</w:t>
                  </w:r>
                </w:p>
              </w:tc>
            </w:tr>
            <w:tr>
              <w:tc>
                <w:tcPr>
                  <w:tcW w:w="1795" w:type="dxa"/>
                </w:tcPr>
                <w:p>
                  <w:pPr>
                    <w:spacing w:line="200" w:lineRule="exact"/>
                  </w:pPr>
                  <w:r>
                    <w:rPr>
                      <w:rFonts w:ascii="方正黑体_GBK" w:hAnsi="方正黑体_GBK" w:eastAsia="方正黑体_GBK" w:cs="宋体"/>
                      <w:sz w:val="18"/>
                      <w:szCs w:val="18"/>
                    </w:rPr>
                    <w:t>产品开放日：0:00-17:00（含）</w:t>
                  </w:r>
                </w:p>
              </w:tc>
              <w:tc>
                <w:tcPr>
                  <w:tcW w:w="1795" w:type="dxa"/>
                </w:tcPr>
                <w:p>
                  <w:pPr>
                    <w:spacing w:line="200" w:lineRule="exact"/>
                  </w:pPr>
                  <w:r>
                    <w:rPr>
                      <w:rFonts w:ascii="方正黑体_GBK" w:hAnsi="方正黑体_GBK" w:eastAsia="方正黑体_GBK" w:cs="宋体"/>
                      <w:sz w:val="18"/>
                      <w:szCs w:val="18"/>
                    </w:rPr>
                    <w:t>当日</w:t>
                  </w:r>
                </w:p>
              </w:tc>
              <w:tc>
                <w:tcPr>
                  <w:tcW w:w="1795" w:type="dxa"/>
                </w:tcPr>
                <w:p>
                  <w:pPr>
                    <w:spacing w:line="200" w:lineRule="exact"/>
                  </w:pPr>
                  <w:r>
                    <w:rPr>
                      <w:rFonts w:ascii="方正黑体_GBK" w:hAnsi="方正黑体_GBK" w:eastAsia="方正黑体_GBK" w:cs="宋体"/>
                      <w:sz w:val="18"/>
                      <w:szCs w:val="18"/>
                    </w:rPr>
                    <w:t>申购受理日下一产品开放日</w:t>
                  </w:r>
                </w:p>
              </w:tc>
            </w:tr>
            <w:tr>
              <w:tc>
                <w:tcPr>
                  <w:tcW w:w="1795" w:type="dxa"/>
                </w:tcPr>
                <w:p>
                  <w:pPr>
                    <w:spacing w:line="200" w:lineRule="exact"/>
                  </w:pPr>
                  <w:r>
                    <w:rPr>
                      <w:rFonts w:ascii="方正黑体_GBK" w:hAnsi="方正黑体_GBK" w:eastAsia="方正黑体_GBK" w:cs="宋体"/>
                      <w:sz w:val="18"/>
                      <w:szCs w:val="18"/>
                    </w:rPr>
                    <w:t>产品开放日：17:00（不含）-24:00或非产品开放日</w:t>
                  </w:r>
                </w:p>
              </w:tc>
              <w:tc>
                <w:tcPr>
                  <w:tcW w:w="1795" w:type="dxa"/>
                </w:tcPr>
                <w:p>
                  <w:pPr>
                    <w:spacing w:line="200" w:lineRule="exact"/>
                  </w:pPr>
                  <w:r>
                    <w:rPr>
                      <w:rFonts w:ascii="方正黑体_GBK" w:hAnsi="方正黑体_GBK" w:eastAsia="方正黑体_GBK" w:cs="宋体"/>
                      <w:sz w:val="18"/>
                      <w:szCs w:val="18"/>
                    </w:rPr>
                    <w:t>下一产品开放日</w:t>
                  </w:r>
                </w:p>
              </w:tc>
              <w:tc>
                <w:tcPr>
                  <w:tcW w:w="1795" w:type="dxa"/>
                </w:tcPr>
                <w:p>
                  <w:pPr>
                    <w:spacing w:line="200" w:lineRule="exact"/>
                  </w:pPr>
                  <w:r>
                    <w:rPr>
                      <w:rFonts w:ascii="方正黑体_GBK" w:hAnsi="方正黑体_GBK" w:eastAsia="方正黑体_GBK" w:cs="宋体"/>
                      <w:sz w:val="18"/>
                      <w:szCs w:val="18"/>
                    </w:rPr>
                    <w:t>申购受理日下一产品开放日</w:t>
                  </w:r>
                </w:p>
              </w:tc>
            </w:tr>
          </w:tbl>
          <w:p>
            <w:pPr>
              <w:spacing w:line="200" w:lineRule="exact"/>
            </w:pPr>
          </w:p>
          <w:p>
            <w:pPr>
              <w:spacing w:line="200" w:lineRule="exact"/>
              <w:jc w:val="left"/>
            </w:pPr>
            <w:r>
              <w:rPr>
                <w:rFonts w:ascii="方正黑体_GBK" w:hAnsi="方正黑体_GBK" w:eastAsia="方正黑体_GBK" w:cs="宋体"/>
                <w:b/>
                <w:sz w:val="18"/>
                <w:szCs w:val="18"/>
              </w:rPr>
              <w:t>代销机构可根据其销售需要重新设定申购时间，投资者通过代销机构购买本理财产品的，以该代销机构最终披露的申购时间和规则为准，但需当日受理的申购申请截止时间不得超过当日17:00。</w:t>
            </w:r>
          </w:p>
          <w:p>
            <w:pPr>
              <w:spacing w:line="200" w:lineRule="exact"/>
              <w:jc w:val="left"/>
            </w:pPr>
          </w:p>
          <w:p>
            <w:pPr>
              <w:spacing w:line="200" w:lineRule="exact"/>
              <w:jc w:val="left"/>
            </w:pPr>
            <w:r>
              <w:rPr>
                <w:rFonts w:ascii="方正黑体_GBK" w:hAnsi="方正黑体_GBK" w:eastAsia="方正黑体_GBK" w:cs="宋体"/>
                <w:b/>
                <w:sz w:val="18"/>
                <w:szCs w:val="18"/>
              </w:rPr>
              <w:t>注</w:t>
            </w:r>
            <w:r>
              <w:rPr>
                <w:rFonts w:ascii="方正黑体_GBK" w:hAnsi="方正黑体_GBK" w:eastAsia="方正黑体_GBK" w:cs="宋体"/>
                <w:sz w:val="18"/>
                <w:szCs w:val="18"/>
              </w:rPr>
              <w:t>：</w:t>
            </w:r>
          </w:p>
          <w:p>
            <w:pPr>
              <w:spacing w:line="200" w:lineRule="exact"/>
              <w:jc w:val="left"/>
            </w:pPr>
            <w:r>
              <w:rPr>
                <w:rFonts w:ascii="方正黑体_GBK" w:hAnsi="方正黑体_GBK" w:eastAsia="方正黑体_GBK" w:cs="宋体"/>
                <w:b/>
                <w:sz w:val="18"/>
                <w:szCs w:val="18"/>
              </w:rPr>
              <w:t>1.申购受理日17:00（含）前可以撤销申购申请。</w:t>
            </w:r>
          </w:p>
          <w:p>
            <w:pPr>
              <w:spacing w:line="200" w:lineRule="exact"/>
            </w:pPr>
            <w:r>
              <w:rPr>
                <w:rFonts w:ascii="方正黑体_GBK" w:hAnsi="方正黑体_GBK" w:eastAsia="方正黑体_GBK" w:cs="宋体"/>
                <w:sz w:val="18"/>
                <w:szCs w:val="18"/>
              </w:rPr>
              <w:t>2.产品开放日为产品存续期内每周一至周五（指工作日），但不包括国家法定节假日、休息日和南银理财公告暂停开放的日期。</w:t>
            </w:r>
            <w:r>
              <w:rPr>
                <w:rFonts w:ascii="方正黑体_GBK" w:hAnsi="方正黑体_GBK" w:eastAsia="方正黑体_GBK" w:cs="宋体"/>
                <w:b/>
                <w:sz w:val="18"/>
                <w:szCs w:val="18"/>
              </w:rPr>
              <w:t>系统批处理时间无法进行任何操作，届时系统将相应提示，系统批处理时间预计在0：00至3：00之间，如遇特殊情况延迟，敬请投资者注意。</w:t>
            </w:r>
          </w:p>
        </w:tc>
      </w:tr>
      <w:tr>
        <w:trPr>
          <w:trHeight w:val="34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申购开放日和确认日</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产品封闭期后的每周一至周五（指工作日），但不包括国家法定节假日、休息日和管理人、代销机构公告暂停开放的日期。</w:t>
            </w:r>
          </w:p>
        </w:tc>
      </w:tr>
      <w:tr>
        <w:trPr>
          <w:trHeight w:val="28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申购</w:t>
            </w:r>
            <w:r>
              <w:rPr>
                <w:rFonts w:hint="eastAsia" w:ascii="方正黑体_GBK" w:hAnsi="方正黑体_GBK" w:eastAsia="方正黑体_GBK"/>
                <w:caps w:val="0"/>
                <w:smallCaps w:val="0"/>
                <w:snapToGrid/>
                <w:vanish w:val="0"/>
                <w:color w:val="auto"/>
                <w:kern w:val="0"/>
                <w:sz w:val="18"/>
                <w:szCs w:val="18"/>
                <w:vertAlign w:val="baseline"/>
              </w:rPr>
              <w:t>份额计算</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b/>
                <w:sz w:val="18"/>
                <w:szCs w:val="18"/>
              </w:rPr>
              <w:t>申购份额=申购金额/申购确认日产品单位净值（申购确认日为申购受理日当日）</w:t>
            </w:r>
          </w:p>
          <w:p>
            <w:pPr>
              <w:spacing w:line="200" w:lineRule="exact"/>
              <w:jc w:val="left"/>
            </w:pPr>
            <w:r>
              <w:rPr>
                <w:rFonts w:ascii="方正黑体_GBK" w:hAnsi="方正黑体_GBK" w:eastAsia="方正黑体_GBK" w:cs="宋体"/>
                <w:sz w:val="18"/>
                <w:szCs w:val="18"/>
              </w:rPr>
              <w:t>（申购份额按去尾法保留两位小数）。</w:t>
            </w:r>
          </w:p>
        </w:tc>
      </w:tr>
      <w:tr>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ascii="方正黑体_GBK" w:hAnsi="方正黑体_GBK" w:eastAsia="方正黑体_GBK"/>
                <w:caps w:val="0"/>
                <w:smallCaps w:val="0"/>
                <w:snapToGrid/>
                <w:vanish w:val="0"/>
                <w:color w:val="auto"/>
                <w:kern w:val="0"/>
                <w:sz w:val="18"/>
                <w:szCs w:val="18"/>
                <w:vertAlign w:val="baseline"/>
              </w:rPr>
              <w:t>赎回规则</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b/>
                <w:sz w:val="18"/>
                <w:szCs w:val="18"/>
              </w:rPr>
              <w:t>持有期7天以内的份额不可提出赎回申请。</w:t>
            </w:r>
          </w:p>
          <w:p>
            <w:pPr>
              <w:spacing w:line="200" w:lineRule="exact"/>
              <w:jc w:val="left"/>
            </w:pPr>
            <w:r>
              <w:rPr>
                <w:rFonts w:ascii="方正黑体_GBK" w:hAnsi="方正黑体_GBK" w:eastAsia="方正黑体_GBK" w:cs="宋体"/>
                <w:b/>
                <w:sz w:val="18"/>
                <w:szCs w:val="18"/>
              </w:rPr>
              <w:t>持有满7天及以上的份额可在之后的每个产品开放日提出赎回申请，非巨额赎回时，产品开放日17:00前的赎回于当日受理，其他时间的赎回于下一产品开放日受理，赎回款项将于份额运作终止日后5个工作日内到账</w:t>
            </w:r>
            <w:r>
              <w:rPr>
                <w:rFonts w:ascii="方正黑体_GBK" w:hAnsi="方正黑体_GBK" w:eastAsia="方正黑体_GBK" w:cs="宋体"/>
                <w:sz w:val="18"/>
                <w:szCs w:val="18"/>
              </w:rPr>
              <w:t>。上述赎回规则如下（系统批处理时间内无法操作）：</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1346"/>
              <w:gridCol w:w="1346"/>
              <w:gridCol w:w="1346"/>
              <w:gridCol w:w="1346"/>
            </w:tblGrid>
            <w:tr>
              <w:tc>
                <w:tcPr>
                  <w:tcW w:w="1346" w:type="dxa"/>
                </w:tcPr>
                <w:p>
                  <w:pPr>
                    <w:spacing w:line="200" w:lineRule="exact"/>
                  </w:pPr>
                  <w:r>
                    <w:rPr>
                      <w:rFonts w:ascii="方正黑体_GBK" w:hAnsi="方正黑体_GBK" w:eastAsia="方正黑体_GBK" w:cs="宋体"/>
                      <w:sz w:val="18"/>
                      <w:szCs w:val="18"/>
                    </w:rPr>
                    <w:t>赎回时间</w:t>
                  </w:r>
                </w:p>
              </w:tc>
              <w:tc>
                <w:tcPr>
                  <w:tcW w:w="1346" w:type="dxa"/>
                </w:tcPr>
                <w:p>
                  <w:pPr>
                    <w:spacing w:line="200" w:lineRule="exact"/>
                  </w:pPr>
                  <w:r>
                    <w:rPr>
                      <w:rFonts w:ascii="方正黑体_GBK" w:hAnsi="方正黑体_GBK" w:eastAsia="方正黑体_GBK" w:cs="宋体"/>
                      <w:sz w:val="18"/>
                      <w:szCs w:val="18"/>
                    </w:rPr>
                    <w:t>赎回受理日</w:t>
                  </w:r>
                </w:p>
              </w:tc>
              <w:tc>
                <w:tcPr>
                  <w:tcW w:w="1346" w:type="dxa"/>
                </w:tcPr>
                <w:p>
                  <w:pPr>
                    <w:spacing w:line="200" w:lineRule="exact"/>
                  </w:pPr>
                  <w:r>
                    <w:rPr>
                      <w:rFonts w:ascii="方正黑体_GBK" w:hAnsi="方正黑体_GBK" w:eastAsia="方正黑体_GBK" w:cs="宋体"/>
                      <w:sz w:val="18"/>
                      <w:szCs w:val="18"/>
                    </w:rPr>
                    <w:t>份额运作终止日</w:t>
                  </w:r>
                </w:p>
              </w:tc>
              <w:tc>
                <w:tcPr>
                  <w:tcW w:w="1346" w:type="dxa"/>
                </w:tcPr>
                <w:p>
                  <w:pPr>
                    <w:spacing w:line="200" w:lineRule="exact"/>
                  </w:pPr>
                  <w:r>
                    <w:rPr>
                      <w:rFonts w:ascii="方正黑体_GBK" w:hAnsi="方正黑体_GBK" w:eastAsia="方正黑体_GBK" w:cs="宋体"/>
                      <w:sz w:val="18"/>
                      <w:szCs w:val="18"/>
                    </w:rPr>
                    <w:t>资金到账日</w:t>
                  </w:r>
                </w:p>
              </w:tc>
            </w:tr>
            <w:tr>
              <w:tc>
                <w:tcPr>
                  <w:tcW w:w="1346" w:type="dxa"/>
                </w:tcPr>
                <w:p>
                  <w:pPr>
                    <w:spacing w:line="200" w:lineRule="exact"/>
                  </w:pPr>
                  <w:r>
                    <w:rPr>
                      <w:rFonts w:ascii="方正黑体_GBK" w:hAnsi="方正黑体_GBK" w:eastAsia="方正黑体_GBK" w:cs="宋体"/>
                      <w:sz w:val="18"/>
                      <w:szCs w:val="18"/>
                    </w:rPr>
                    <w:t>份额持有满7天后的产品开放日：0:00-17:00</w:t>
                  </w:r>
                </w:p>
              </w:tc>
              <w:tc>
                <w:tcPr>
                  <w:tcW w:w="1346" w:type="dxa"/>
                </w:tcPr>
                <w:p>
                  <w:pPr>
                    <w:spacing w:line="200" w:lineRule="exact"/>
                  </w:pPr>
                  <w:r>
                    <w:rPr>
                      <w:rFonts w:ascii="方正黑体_GBK" w:hAnsi="方正黑体_GBK" w:eastAsia="方正黑体_GBK" w:cs="宋体"/>
                      <w:sz w:val="18"/>
                      <w:szCs w:val="18"/>
                    </w:rPr>
                    <w:t>当日</w:t>
                  </w:r>
                </w:p>
              </w:tc>
              <w:tc>
                <w:tcPr>
                  <w:tcW w:w="1346" w:type="dxa"/>
                </w:tcPr>
                <w:p>
                  <w:pPr>
                    <w:spacing w:line="200" w:lineRule="exact"/>
                  </w:pPr>
                  <w:r>
                    <w:rPr>
                      <w:rFonts w:ascii="方正黑体_GBK" w:hAnsi="方正黑体_GBK" w:eastAsia="方正黑体_GBK" w:cs="宋体"/>
                      <w:sz w:val="18"/>
                      <w:szCs w:val="18"/>
                    </w:rPr>
                    <w:t>赎回受理日下一产品开放日</w:t>
                  </w:r>
                </w:p>
              </w:tc>
              <w:tc>
                <w:tcPr>
                  <w:tcW w:w="1346" w:type="dxa"/>
                  <w:vMerge w:val="restart"/>
                </w:tcPr>
                <w:p>
                  <w:pPr>
                    <w:spacing w:line="200" w:lineRule="exact"/>
                  </w:pPr>
                  <w:r>
                    <w:rPr>
                      <w:rFonts w:ascii="方正黑体_GBK" w:hAnsi="方正黑体_GBK" w:eastAsia="方正黑体_GBK" w:cs="宋体"/>
                      <w:sz w:val="18"/>
                      <w:szCs w:val="18"/>
                    </w:rPr>
                    <w:t>份额运作终止日后5个工作日内</w:t>
                  </w:r>
                </w:p>
              </w:tc>
            </w:tr>
            <w:tr>
              <w:tc>
                <w:tcPr>
                  <w:tcW w:w="1346" w:type="dxa"/>
                </w:tcPr>
                <w:p>
                  <w:pPr>
                    <w:spacing w:line="200" w:lineRule="exact"/>
                  </w:pPr>
                  <w:r>
                    <w:rPr>
                      <w:rFonts w:ascii="方正黑体_GBK" w:hAnsi="方正黑体_GBK" w:eastAsia="方正黑体_GBK" w:cs="宋体"/>
                      <w:sz w:val="18"/>
                      <w:szCs w:val="18"/>
                    </w:rPr>
                    <w:t>份额持有满7天后的产品开放日：17:00-24:00或非产品开放日</w:t>
                  </w:r>
                </w:p>
              </w:tc>
              <w:tc>
                <w:tcPr>
                  <w:tcW w:w="1346" w:type="dxa"/>
                </w:tcPr>
                <w:p>
                  <w:pPr>
                    <w:spacing w:line="200" w:lineRule="exact"/>
                  </w:pPr>
                  <w:r>
                    <w:rPr>
                      <w:rFonts w:ascii="方正黑体_GBK" w:hAnsi="方正黑体_GBK" w:eastAsia="方正黑体_GBK" w:cs="宋体"/>
                      <w:sz w:val="18"/>
                      <w:szCs w:val="18"/>
                    </w:rPr>
                    <w:t>下一产品开放日</w:t>
                  </w:r>
                </w:p>
              </w:tc>
              <w:tc>
                <w:tcPr>
                  <w:tcW w:w="1346" w:type="dxa"/>
                </w:tcPr>
                <w:p>
                  <w:pPr>
                    <w:spacing w:line="200" w:lineRule="exact"/>
                  </w:pPr>
                  <w:r>
                    <w:rPr>
                      <w:rFonts w:ascii="方正黑体_GBK" w:hAnsi="方正黑体_GBK" w:eastAsia="方正黑体_GBK" w:cs="宋体"/>
                      <w:sz w:val="18"/>
                      <w:szCs w:val="18"/>
                    </w:rPr>
                    <w:t>赎回受理日下一产品开放日</w:t>
                  </w:r>
                </w:p>
              </w:tc>
              <w:tc>
                <w:tcPr>
                  <w:tcW w:w="1346" w:type="dxa"/>
                  <w:vMerge w:val="continue"/>
                </w:tcPr>
                <w:p/>
              </w:tc>
            </w:tr>
          </w:tbl>
          <w:p>
            <w:pPr>
              <w:spacing w:line="200" w:lineRule="exact"/>
            </w:pPr>
            <w:r>
              <w:rPr>
                <w:rFonts w:ascii="方正黑体_GBK" w:hAnsi="方正黑体_GBK" w:eastAsia="方正黑体_GBK" w:cs="宋体"/>
                <w:b/>
                <w:sz w:val="18"/>
                <w:szCs w:val="18"/>
              </w:rPr>
              <w:t>代销机构可根据其销售需要重新设定赎回时间，投资者通过代销机构赎回本理财产品的，以该代销机构最终披露的赎回时间和规则为准，但需当日受理的赎回申请截止时间不得超过当日17:00。</w:t>
            </w:r>
          </w:p>
          <w:p>
            <w:pPr>
              <w:spacing w:line="200" w:lineRule="exact"/>
              <w:jc w:val="left"/>
            </w:pPr>
            <w:r>
              <w:rPr>
                <w:rFonts w:ascii="方正黑体_GBK" w:hAnsi="方正黑体_GBK" w:eastAsia="方正黑体_GBK" w:cs="宋体"/>
                <w:b/>
                <w:sz w:val="18"/>
                <w:szCs w:val="18"/>
              </w:rPr>
              <w:t>注：</w:t>
            </w:r>
          </w:p>
          <w:p>
            <w:pPr>
              <w:spacing w:line="200" w:lineRule="exact"/>
            </w:pPr>
            <w:r>
              <w:rPr>
                <w:rFonts w:ascii="方正黑体_GBK" w:hAnsi="方正黑体_GBK" w:eastAsia="方正黑体_GBK" w:cs="宋体"/>
                <w:sz w:val="18"/>
                <w:szCs w:val="18"/>
              </w:rPr>
              <w:t>1.</w:t>
            </w:r>
            <w:r>
              <w:rPr>
                <w:rFonts w:ascii="方正黑体_GBK" w:hAnsi="方正黑体_GBK" w:eastAsia="方正黑体_GBK" w:cs="宋体"/>
                <w:b/>
                <w:sz w:val="18"/>
                <w:szCs w:val="18"/>
              </w:rPr>
              <w:t>如投资者多次认申购本理财产品，其中持有满7天及以上的份额可提出赎回申请，持有期7天以内的份额不可提出赎回申请。</w:t>
            </w:r>
          </w:p>
          <w:p>
            <w:pPr>
              <w:spacing w:line="200" w:lineRule="exact"/>
            </w:pPr>
            <w:r>
              <w:rPr>
                <w:rFonts w:ascii="方正黑体_GBK" w:hAnsi="方正黑体_GBK" w:eastAsia="方正黑体_GBK" w:cs="宋体"/>
                <w:color w:val="000000"/>
                <w:sz w:val="18"/>
                <w:szCs w:val="18"/>
              </w:rPr>
              <w:t>2.</w:t>
            </w:r>
            <w:r>
              <w:rPr>
                <w:rFonts w:ascii="方正黑体_GBK" w:hAnsi="方正黑体_GBK" w:eastAsia="方正黑体_GBK" w:cs="宋体"/>
                <w:b/>
                <w:sz w:val="18"/>
                <w:szCs w:val="18"/>
              </w:rPr>
              <w:t>单个投资者的赎回遵循“先进先出”原则，即单个投资者先认/申购的份额先被赎回。</w:t>
            </w:r>
          </w:p>
          <w:p>
            <w:pPr>
              <w:spacing w:line="200" w:lineRule="exact"/>
            </w:pPr>
            <w:r>
              <w:rPr>
                <w:rFonts w:ascii="方正黑体_GBK" w:hAnsi="方正黑体_GBK" w:eastAsia="方正黑体_GBK" w:cs="宋体"/>
                <w:b/>
                <w:sz w:val="18"/>
                <w:szCs w:val="18"/>
              </w:rPr>
              <w:t>3.赎回受理日17:00前可以撤销赎回申请。</w:t>
            </w:r>
          </w:p>
          <w:p>
            <w:pPr>
              <w:spacing w:line="200" w:lineRule="exact"/>
              <w:jc w:val="left"/>
            </w:pPr>
            <w:r>
              <w:rPr>
                <w:rFonts w:ascii="方正黑体_GBK" w:hAnsi="方正黑体_GBK" w:eastAsia="方正黑体_GBK" w:cs="宋体"/>
                <w:b/>
                <w:sz w:val="18"/>
                <w:szCs w:val="18"/>
              </w:rPr>
              <w:t>4.</w:t>
            </w:r>
            <w:r>
              <w:rPr>
                <w:rFonts w:ascii="方正黑体_GBK" w:hAnsi="方正黑体_GBK" w:eastAsia="方正黑体_GBK" w:cs="宋体"/>
                <w:sz w:val="18"/>
                <w:szCs w:val="18"/>
              </w:rPr>
              <w:t>产品开放日为产品存续期内每周一至周五（指工作日），但不包括国家法定节假日、休息日和管理人及代销机构公告暂停开放的日期。</w:t>
            </w:r>
            <w:r>
              <w:rPr>
                <w:rFonts w:ascii="方正黑体_GBK" w:hAnsi="方正黑体_GBK" w:eastAsia="方正黑体_GBK" w:cs="宋体"/>
                <w:b/>
                <w:sz w:val="18"/>
                <w:szCs w:val="18"/>
              </w:rPr>
              <w:t>系统批处理时间无法进行任何操作，届时系统将相应提示，系统批处理时间预计在0：00至3：00之间，如遇特殊情况延迟，敬请投资者注意。</w:t>
            </w:r>
          </w:p>
          <w:p>
            <w:pPr>
              <w:spacing w:line="200" w:lineRule="exact"/>
            </w:pPr>
            <w:r>
              <w:rPr>
                <w:rFonts w:ascii="方正黑体_GBK" w:hAnsi="方正黑体_GBK" w:eastAsia="方正黑体_GBK" w:cs="宋体"/>
                <w:b/>
                <w:sz w:val="18"/>
                <w:szCs w:val="18"/>
              </w:rPr>
              <w:t>5.份额运作终止日至资金到账日间赎回款项不计任何收益。</w:t>
            </w:r>
          </w:p>
          <w:p>
            <w:pPr>
              <w:spacing w:line="200" w:lineRule="exact"/>
            </w:pPr>
          </w:p>
        </w:tc>
      </w:tr>
      <w:tr>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spacing w:line="200" w:lineRule="exact"/>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赎回开放日和确认日</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产品封闭期后的每周一至周五（指工作日），但不包括国家法定节假日、休息日和管理人、代销机构公告暂停开放的日期。</w:t>
            </w:r>
          </w:p>
        </w:tc>
      </w:tr>
      <w:tr>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赎回金额计算</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b/>
                <w:sz w:val="18"/>
                <w:szCs w:val="18"/>
              </w:rPr>
              <w:t>赎回金额=赎回份额×赎回确认日产品单位净值（赎回确认日为赎回受理日当日）</w:t>
            </w:r>
          </w:p>
          <w:p>
            <w:pPr>
              <w:spacing w:line="200" w:lineRule="exact"/>
            </w:pPr>
            <w:r>
              <w:rPr>
                <w:rFonts w:ascii="方正黑体_GBK" w:hAnsi="方正黑体_GBK" w:eastAsia="方正黑体_GBK" w:cs="宋体"/>
                <w:sz w:val="18"/>
                <w:szCs w:val="18"/>
              </w:rPr>
              <w:t>（赎回金额按去尾法保留两位小数）</w:t>
            </w:r>
          </w:p>
          <w:p>
            <w:pPr>
              <w:spacing w:line="200" w:lineRule="exact"/>
            </w:pPr>
            <w:r>
              <w:rPr>
                <w:rFonts w:ascii="方正黑体_GBK" w:hAnsi="方正黑体_GBK" w:eastAsia="方正黑体_GBK" w:cs="宋体"/>
                <w:b/>
                <w:sz w:val="18"/>
                <w:szCs w:val="18"/>
              </w:rPr>
              <w:t>产品的赎回费、业绩报酬等费用（如有）将从赎回金额中扣除。</w:t>
            </w:r>
          </w:p>
        </w:tc>
      </w:tr>
      <w:tr>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kern w:val="0"/>
                <w:sz w:val="18"/>
                <w:szCs w:val="18"/>
              </w:rPr>
              <w:t>到期兑付金额计算</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color w:val="000000"/>
                <w:sz w:val="18"/>
                <w:szCs w:val="18"/>
              </w:rPr>
              <w:t>到期兑付金额=到期时持有份额×P。 P为期末理财产品单位净值。（已扣除相关费用，到期兑付金额以去尾法保留两位小数）</w:t>
            </w:r>
          </w:p>
        </w:tc>
      </w:tr>
      <w:tr>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spacing w:line="200" w:lineRule="exact"/>
              <w:jc w:val="left"/>
              <w:rPr>
                <w:rFonts w:ascii="方正黑体_GBK" w:hAnsi="方正黑体_GBK" w:eastAsia="方正黑体_GBK" w:cs="Times New Roman"/>
                <w:color w:val="000000"/>
                <w:kern w:val="0"/>
                <w:sz w:val="18"/>
                <w:szCs w:val="18"/>
              </w:rPr>
            </w:pPr>
            <w:r>
              <w:rPr>
                <w:rFonts w:ascii="方正黑体_GBK" w:hAnsi="方正黑体_GBK" w:eastAsia="方正黑体_GBK" w:cs="Times New Roman"/>
                <w:color w:val="000000"/>
                <w:kern w:val="0"/>
                <w:sz w:val="18"/>
                <w:szCs w:val="18"/>
              </w:rPr>
              <w:t>份额最低持有期</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sz w:val="18"/>
                <w:szCs w:val="18"/>
              </w:rPr>
              <w:t>7天</w:t>
            </w:r>
          </w:p>
          <w:p>
            <w:pPr>
              <w:spacing w:line="200" w:lineRule="exact"/>
            </w:pPr>
            <w:r>
              <w:rPr>
                <w:rFonts w:ascii="方正黑体_GBK" w:hAnsi="方正黑体_GBK" w:eastAsia="方正黑体_GBK" w:cs="宋体"/>
                <w:sz w:val="18"/>
                <w:szCs w:val="18"/>
              </w:rPr>
              <w:t>（认购份额从成立日起最低持有期为7天，2024年11月11日及之前不可提出赎回申请；申购份额从份额运作起始日起最低持有期为7天，7天以内不可提出赎回申请。）</w:t>
            </w:r>
          </w:p>
        </w:tc>
      </w:tr>
      <w:tr>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收益分配</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当理财产品单位净值不低于1时，管理人可以根据实际情况进行收益分配，分配方式为现金分红，具体分配方案以信息披露为准（分配后理财产品净值不低于1）。</w:t>
            </w:r>
          </w:p>
          <w:p>
            <w:pPr>
              <w:spacing w:line="200" w:lineRule="exact"/>
            </w:pPr>
            <w:r>
              <w:rPr>
                <w:rFonts w:ascii="方正黑体_GBK" w:hAnsi="方正黑体_GBK" w:eastAsia="方正黑体_GBK" w:cs="宋体"/>
                <w:sz w:val="18"/>
                <w:szCs w:val="18"/>
              </w:rPr>
              <w:t>产品到期后，理财产品管理人和代销机构将根据理财资金所投资资产实际运作情况向投资者分配到期款项。</w:t>
            </w:r>
          </w:p>
        </w:tc>
      </w:tr>
      <w:tr>
        <w:trPr>
          <w:trHeight w:val="29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资金到账日</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sz w:val="18"/>
                <w:szCs w:val="18"/>
              </w:rPr>
              <w:t>赎回资金、分红资金（如有）、到期资金将于赎回确认日、分红权益登记日（如有）、实际到期日后5个工作日内划入投资者授权指定账户，赎回确认日、分红权益登记日（如有）、实际到期日后至投资者收益划到投资者授权指定账户之前不计任何收益。</w:t>
            </w:r>
          </w:p>
          <w:p>
            <w:pPr>
              <w:spacing w:line="200" w:lineRule="exact"/>
              <w:jc w:val="left"/>
            </w:pPr>
            <w:r>
              <w:rPr>
                <w:rFonts w:ascii="方正黑体_GBK" w:hAnsi="方正黑体_GBK" w:eastAsia="方正黑体_GBK" w:cs="宋体"/>
                <w:sz w:val="18"/>
                <w:szCs w:val="18"/>
              </w:rPr>
              <w:t>分红权益登记日指管理人确认投资者所持份额是否享受本次分红的日期。</w:t>
            </w:r>
          </w:p>
        </w:tc>
      </w:tr>
      <w:tr>
        <w:trPr>
          <w:trHeight w:val="25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投资范围</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sz w:val="18"/>
                <w:szCs w:val="18"/>
              </w:rPr>
              <w:t>本理财产品募集的资金投资于以下金融资产和金融工具，包括但不限于：</w:t>
            </w:r>
          </w:p>
          <w:p>
            <w:pPr>
              <w:spacing w:line="200" w:lineRule="exact"/>
              <w:jc w:val="left"/>
            </w:pPr>
            <w:r>
              <w:rPr>
                <w:rFonts w:ascii="方正黑体_GBK" w:hAnsi="方正黑体_GBK" w:eastAsia="方正黑体_GBK" w:cs="宋体"/>
                <w:sz w:val="18"/>
                <w:szCs w:val="18"/>
              </w:rPr>
              <w:t>1.现金、银行存款、银行承兑汇票、同业存款、大额存单、同业存单、债券回购、货币基金等货币市场工具；</w:t>
            </w:r>
          </w:p>
          <w:p>
            <w:pPr>
              <w:spacing w:line="200" w:lineRule="exact"/>
              <w:jc w:val="left"/>
            </w:pPr>
            <w:r>
              <w:rPr>
                <w:rFonts w:ascii="方正黑体_GBK" w:hAnsi="方正黑体_GBK" w:eastAsia="方正黑体_GBK" w:cs="宋体"/>
                <w:sz w:val="18"/>
                <w:szCs w:val="18"/>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pPr>
              <w:spacing w:line="200" w:lineRule="exact"/>
              <w:jc w:val="left"/>
            </w:pPr>
            <w:r>
              <w:rPr>
                <w:rFonts w:ascii="方正黑体_GBK" w:hAnsi="方正黑体_GBK" w:eastAsia="方正黑体_GBK" w:cs="宋体"/>
                <w:sz w:val="18"/>
                <w:szCs w:val="18"/>
              </w:rPr>
              <w:t>3.公开募集基础设施证券投资基金等符合监管要求的公募证券投资基金；</w:t>
            </w:r>
          </w:p>
          <w:p>
            <w:pPr>
              <w:spacing w:line="200" w:lineRule="exact"/>
              <w:jc w:val="left"/>
            </w:pPr>
            <w:r>
              <w:rPr>
                <w:rFonts w:ascii="方正黑体_GBK" w:hAnsi="方正黑体_GBK" w:eastAsia="方正黑体_GBK" w:cs="宋体"/>
                <w:sz w:val="18"/>
                <w:szCs w:val="18"/>
              </w:rPr>
              <w:t>4.投资范围为上述资产的信托计划、资产管理计划等资产管理产品；</w:t>
            </w:r>
          </w:p>
          <w:p>
            <w:pPr>
              <w:spacing w:line="200" w:lineRule="exact"/>
              <w:jc w:val="left"/>
            </w:pPr>
            <w:r>
              <w:rPr>
                <w:rFonts w:ascii="方正黑体_GBK" w:hAnsi="方正黑体_GBK" w:eastAsia="方正黑体_GBK" w:cs="宋体"/>
                <w:sz w:val="18"/>
                <w:szCs w:val="18"/>
              </w:rPr>
              <w:t>5.法律法规或监管机构允许投资的符合本理财产品投资性质的其他金融工具；</w:t>
            </w:r>
          </w:p>
          <w:p>
            <w:pPr>
              <w:spacing w:line="200" w:lineRule="exact"/>
            </w:pPr>
            <w:r>
              <w:rPr>
                <w:rFonts w:ascii="方正黑体_GBK" w:hAnsi="方正黑体_GBK" w:eastAsia="方正黑体_GBK" w:cs="宋体"/>
                <w:sz w:val="18"/>
                <w:szCs w:val="18"/>
              </w:rPr>
              <w:t>6.如存在法律法规或监管机构以后允许投资的其他品种或法律法规或监管政策出现调整，管理人在履行本理财产品销售文件规定的适当程序后，有权调整以上品种。</w:t>
            </w:r>
          </w:p>
        </w:tc>
      </w:tr>
      <w:tr>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投资比例</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本理财产品投资于固定收益类资产的比例不低于本理财产品总资产的80%。</w:t>
            </w:r>
          </w:p>
          <w:p>
            <w:pPr>
              <w:spacing w:line="200" w:lineRule="exact"/>
            </w:pPr>
            <w:r>
              <w:rPr>
                <w:rFonts w:ascii="方正黑体_GBK" w:hAnsi="方正黑体_GBK" w:eastAsia="方正黑体_GBK"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投资策略</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理财产品通过对宏观经济、政策环境、市场状况和资金供求的深入分析，对债券资产行业和品种的深入分析，自上而下进行积极主动的配置，构建合理的投资组合方案。力争控制回撤幅度，追求稳健的投资回报。</w:t>
            </w:r>
          </w:p>
        </w:tc>
      </w:tr>
      <w:tr>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bCs/>
                <w:caps w:val="0"/>
                <w:smallCaps w:val="0"/>
                <w:snapToGrid/>
                <w:vanish w:val="0"/>
                <w:color w:val="auto"/>
                <w:kern w:val="0"/>
                <w:sz w:val="18"/>
                <w:szCs w:val="18"/>
                <w:vertAlign w:val="baseline"/>
              </w:rPr>
              <w:t>业绩比较基准</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A份额：业绩比较基准为年化2.05%-2.6% 。</w:t>
            </w:r>
          </w:p>
          <w:p>
            <w:pPr>
              <w:spacing w:line="200" w:lineRule="exact"/>
            </w:pPr>
            <w:r>
              <w:rPr>
                <w:rFonts w:ascii="方正黑体_GBK" w:hAnsi="方正黑体_GBK" w:eastAsia="方正黑体_GBK" w:cs="宋体"/>
                <w:sz w:val="18"/>
                <w:szCs w:val="18"/>
              </w:rPr>
              <w:t>B份额：业绩比较基准为年化2.05%-2.6% 。</w:t>
            </w:r>
          </w:p>
          <w:p>
            <w:pPr>
              <w:spacing w:line="200" w:lineRule="exact"/>
              <w:jc w:val="left"/>
            </w:pPr>
            <w:r>
              <w:rPr>
                <w:rFonts w:ascii="方正黑体_GBK" w:hAnsi="方正黑体_GBK" w:eastAsia="方正黑体_GBK" w:cs="宋体"/>
                <w:sz w:val="18"/>
                <w:szCs w:val="18"/>
              </w:rPr>
              <w:t>本理财产品业绩比较基准是管理人基于过往投资经验、对产品存续期拟投资标的和相应投资市场波动的预判设定的投资目标。本理财产品投资于固定收益类资产的比例不低于总资产的80%。结合债券市场的收益和波动水平预判，在本理财产品约定的投资策略基础上，管理人设定了本理财产品投资周期内业绩比较基准。</w:t>
            </w:r>
          </w:p>
          <w:p>
            <w:pPr>
              <w:spacing w:line="200" w:lineRule="exact"/>
              <w:jc w:val="left"/>
            </w:pPr>
            <w:r>
              <w:rPr>
                <w:rFonts w:ascii="方正黑体_GBK" w:hAnsi="方正黑体_GBK" w:eastAsia="方正黑体_GBK"/>
                <w:sz w:val="18"/>
                <w:szCs w:val="18"/>
              </w:rPr>
              <w:t>注：管理人</w:t>
            </w:r>
            <w:r>
              <w:rPr>
                <w:rFonts w:ascii="方正黑体_GBK" w:hAnsi="方正黑体_GBK" w:eastAsia="方正黑体_GBK" w:cs="宋体"/>
                <w:sz w:val="18"/>
                <w:szCs w:val="18"/>
              </w:rPr>
              <w:t>可根据市场情况对业绩比较基准进行适当调整，如有调整，将至少于调整前3个工作日公布调整方案。</w:t>
            </w:r>
          </w:p>
          <w:p>
            <w:pPr>
              <w:spacing w:line="200" w:lineRule="exact"/>
            </w:pPr>
            <w:r>
              <w:rPr>
                <w:rFonts w:ascii="方正黑体_GBK" w:hAnsi="方正黑体_GBK" w:eastAsia="方正黑体_GBK" w:cs="宋体"/>
                <w:b/>
                <w:sz w:val="18"/>
                <w:szCs w:val="18"/>
              </w:rPr>
              <w:t>本理财产品为净值型理财产品，业绩比较基准不是预期收益率，不代表产品的未来表现和实际收益，不构成对产品收益的承诺。</w:t>
            </w:r>
          </w:p>
        </w:tc>
      </w:tr>
      <w:tr>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spacing w:line="200" w:lineRule="exact"/>
              <w:jc w:val="left"/>
              <w:rPr>
                <w:rFonts w:ascii="方正黑体_GBK" w:hAnsi="方正黑体_GBK" w:eastAsia="方正黑体_GBK" w:cs="Times New Roman"/>
                <w:bCs/>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产品</w:t>
            </w:r>
            <w:r>
              <w:rPr>
                <w:rFonts w:hint="eastAsia" w:ascii="方正黑体_GBK" w:hAnsi="方正黑体_GBK" w:eastAsia="方正黑体_GBK"/>
                <w:caps w:val="0"/>
                <w:smallCaps w:val="0"/>
                <w:snapToGrid/>
                <w:vanish w:val="0"/>
                <w:color w:val="auto"/>
                <w:kern w:val="0"/>
                <w:sz w:val="18"/>
                <w:szCs w:val="18"/>
                <w:vertAlign w:val="baseline"/>
              </w:rPr>
              <w:t>费用</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b/>
                <w:sz w:val="18"/>
                <w:szCs w:val="18"/>
              </w:rPr>
              <w:t>认/申购费：本理财产品暂不收取认/申购费。</w:t>
            </w:r>
          </w:p>
          <w:p>
            <w:pPr>
              <w:spacing w:line="200" w:lineRule="exact"/>
            </w:pPr>
            <w:r>
              <w:rPr>
                <w:rFonts w:ascii="方正黑体_GBK" w:hAnsi="方正黑体_GBK" w:eastAsia="方正黑体_GBK" w:cs="宋体"/>
                <w:b/>
                <w:sz w:val="18"/>
                <w:szCs w:val="18"/>
              </w:rPr>
              <w:t>赎回费：本理财产品暂不收取赎回费。</w:t>
            </w:r>
          </w:p>
          <w:p>
            <w:pPr>
              <w:spacing w:line="200" w:lineRule="exact"/>
            </w:pPr>
            <w:r>
              <w:rPr>
                <w:rFonts w:ascii="方正黑体_GBK" w:hAnsi="方正黑体_GBK" w:eastAsia="方正黑体_GBK" w:cs="宋体"/>
                <w:b/>
                <w:sz w:val="18"/>
                <w:szCs w:val="18"/>
              </w:rPr>
              <w:t>销售费：本理财产品按前一日理财产品资产净值收取年化0.3%的销售费，按日计提。</w:t>
            </w:r>
          </w:p>
          <w:p>
            <w:pPr>
              <w:spacing w:line="200" w:lineRule="exact"/>
            </w:pPr>
            <w:r>
              <w:rPr>
                <w:rFonts w:ascii="方正黑体_GBK" w:hAnsi="方正黑体_GBK" w:eastAsia="方正黑体_GBK" w:cs="宋体"/>
                <w:b/>
                <w:sz w:val="18"/>
                <w:szCs w:val="18"/>
              </w:rPr>
              <w:t>每日计提的销售费=前一日理财产品资产净值×年化销售费率÷365</w:t>
            </w:r>
          </w:p>
          <w:p>
            <w:pPr>
              <w:spacing w:line="200" w:lineRule="exact"/>
            </w:pPr>
            <w:r>
              <w:rPr>
                <w:rFonts w:ascii="方正黑体_GBK" w:hAnsi="方正黑体_GBK" w:eastAsia="方正黑体_GBK" w:cs="宋体"/>
                <w:b/>
                <w:sz w:val="18"/>
                <w:szCs w:val="18"/>
              </w:rPr>
              <w:t>固定管理费：本理财产品按前一日理财产品资产净值收取年化0.4%的固定管理费，按日计提。</w:t>
            </w:r>
          </w:p>
          <w:p>
            <w:pPr>
              <w:spacing w:line="200" w:lineRule="exact"/>
            </w:pPr>
            <w:r>
              <w:rPr>
                <w:rFonts w:ascii="方正黑体_GBK" w:hAnsi="方正黑体_GBK" w:eastAsia="方正黑体_GBK" w:cs="宋体"/>
                <w:b/>
                <w:sz w:val="18"/>
                <w:szCs w:val="18"/>
              </w:rPr>
              <w:t>每日计提的固定管理费=前一日理财产品资产净值×年化固定管理费率÷365</w:t>
            </w:r>
          </w:p>
          <w:p>
            <w:pPr>
              <w:spacing w:line="200" w:lineRule="exact"/>
            </w:pPr>
            <w:r>
              <w:rPr>
                <w:rFonts w:ascii="方正黑体_GBK" w:hAnsi="方正黑体_GBK" w:eastAsia="方正黑体_GBK" w:cs="宋体"/>
                <w:b/>
                <w:sz w:val="18"/>
                <w:szCs w:val="18"/>
              </w:rPr>
              <w:t>托管费：本理财产品按前一日理财产品资产净值收取年化0.02%的托管费，按日计提。</w:t>
            </w:r>
          </w:p>
          <w:p>
            <w:pPr>
              <w:spacing w:line="200" w:lineRule="exact"/>
            </w:pPr>
            <w:r>
              <w:rPr>
                <w:rFonts w:ascii="方正黑体_GBK" w:hAnsi="方正黑体_GBK" w:eastAsia="方正黑体_GBK" w:cs="宋体"/>
                <w:b/>
                <w:sz w:val="18"/>
                <w:szCs w:val="18"/>
              </w:rPr>
              <w:t>每日计提的托管费=前一日理财产品资产净值×年化托管费率÷365</w:t>
            </w:r>
          </w:p>
          <w:p>
            <w:pPr>
              <w:spacing w:line="200" w:lineRule="exact"/>
            </w:pPr>
            <w:r>
              <w:rPr>
                <w:rFonts w:ascii="方正黑体_GBK" w:hAnsi="方正黑体_GBK" w:eastAsia="方正黑体_GBK" w:cs="宋体"/>
                <w:b/>
                <w:sz w:val="18"/>
                <w:szCs w:val="18"/>
              </w:rPr>
              <w:t>业绩报酬：本理财产品暂不收取业绩报酬。</w:t>
            </w:r>
          </w:p>
          <w:p>
            <w:pPr>
              <w:spacing w:line="200" w:lineRule="exact"/>
            </w:pPr>
            <w:r>
              <w:rPr>
                <w:rFonts w:ascii="方正黑体_GBK" w:hAnsi="方正黑体_GBK" w:eastAsia="方正黑体_GBK"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tc>
      </w:tr>
      <w:tr>
        <w:trPr>
          <w:trHeight w:val="40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风险事件说明</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color w:val="000000"/>
                <w:sz w:val="18"/>
                <w:szCs w:val="18"/>
              </w:rPr>
              <w:t>具体参见本理财产品风险揭示书。</w:t>
            </w:r>
          </w:p>
          <w:p>
            <w:pPr>
              <w:spacing w:line="200" w:lineRule="exact"/>
              <w:jc w:val="left"/>
            </w:pPr>
            <w:r>
              <w:rPr>
                <w:rFonts w:ascii="方正黑体_GBK" w:hAnsi="方正黑体_GBK" w:eastAsia="方正黑体_GBK"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pPr>
              <w:spacing w:line="200" w:lineRule="exact"/>
              <w:jc w:val="left"/>
            </w:pPr>
            <w:r>
              <w:rPr>
                <w:rFonts w:ascii="方正黑体_GBK" w:hAnsi="方正黑体_GBK" w:eastAsia="方正黑体_GBK" w:cs="宋体"/>
                <w:color w:val="000000"/>
                <w:sz w:val="18"/>
                <w:szCs w:val="18"/>
              </w:rPr>
              <w:t>一是建仓或进行组合调整时，若投资资产包括债券或基金，可能由于特定债券或基金的流动性相对不足而无法按预期的价格买进（申购）或卖出（赎回）；</w:t>
            </w:r>
          </w:p>
          <w:p>
            <w:pPr>
              <w:spacing w:line="200" w:lineRule="exact"/>
              <w:jc w:val="left"/>
            </w:pPr>
            <w:r>
              <w:rPr>
                <w:rFonts w:ascii="方正黑体_GBK" w:hAnsi="方正黑体_GBK" w:eastAsia="方正黑体_GBK" w:cs="宋体"/>
                <w:color w:val="000000"/>
                <w:sz w:val="18"/>
                <w:szCs w:val="18"/>
              </w:rPr>
              <w:t>二是为应对投资者的赎回，被迫以不适当的价格卖出债券或赎回基金；</w:t>
            </w:r>
          </w:p>
          <w:p>
            <w:pPr>
              <w:spacing w:line="200" w:lineRule="exact"/>
              <w:jc w:val="left"/>
            </w:pPr>
            <w:r>
              <w:rPr>
                <w:rFonts w:ascii="方正黑体_GBK" w:hAnsi="方正黑体_GBK" w:eastAsia="方正黑体_GBK" w:cs="宋体"/>
                <w:color w:val="000000"/>
                <w:sz w:val="18"/>
                <w:szCs w:val="18"/>
              </w:rPr>
              <w:t>三是若投资资产包括非标准化债权类资产，可能由于资产缺少流动性而难以变现。</w:t>
            </w:r>
          </w:p>
          <w:p>
            <w:pPr>
              <w:spacing w:line="200" w:lineRule="exact"/>
              <w:jc w:val="left"/>
            </w:pPr>
            <w:r>
              <w:rPr>
                <w:rFonts w:ascii="方正黑体_GBK" w:hAnsi="方正黑体_GBK" w:eastAsia="方正黑体_GBK" w:cs="宋体"/>
                <w:color w:val="000000"/>
                <w:sz w:val="18"/>
                <w:szCs w:val="18"/>
              </w:rPr>
              <w:t>以上情形均可能使产品净值受到不利影响。</w:t>
            </w:r>
          </w:p>
        </w:tc>
      </w:tr>
      <w:tr>
        <w:trPr>
          <w:trHeight w:val="6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理财产品管理人及管理人职责</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pPr>
              <w:spacing w:line="200" w:lineRule="exact"/>
              <w:jc w:val="left"/>
            </w:pPr>
            <w:r>
              <w:rPr>
                <w:rFonts w:ascii="方正黑体_GBK" w:hAnsi="方正黑体_GBK" w:eastAsia="方正黑体_GBK" w:cs="宋体"/>
                <w:color w:val="000000"/>
                <w:sz w:val="18"/>
                <w:szCs w:val="18"/>
              </w:rPr>
              <w:t>1.按照法律法规、监管规定及理财产品销售文件的约定，发行并管理理财产品；</w:t>
            </w:r>
          </w:p>
          <w:p>
            <w:pPr>
              <w:spacing w:line="200" w:lineRule="exact"/>
              <w:jc w:val="left"/>
            </w:pPr>
            <w:r>
              <w:rPr>
                <w:rFonts w:ascii="方正黑体_GBK" w:hAnsi="方正黑体_GBK" w:eastAsia="方正黑体_GBK" w:cs="宋体"/>
                <w:color w:val="000000"/>
                <w:sz w:val="18"/>
                <w:szCs w:val="18"/>
              </w:rPr>
              <w:t>2.根据理财产品的投资组合、同类产品过往业绩和风险状况等因素，对理财产品进行评级；</w:t>
            </w:r>
          </w:p>
          <w:p>
            <w:pPr>
              <w:spacing w:line="200" w:lineRule="exact"/>
              <w:jc w:val="left"/>
            </w:pPr>
            <w:r>
              <w:rPr>
                <w:rFonts w:ascii="方正黑体_GBK" w:hAnsi="方正黑体_GBK" w:eastAsia="方正黑体_GBK" w:cs="宋体"/>
                <w:color w:val="000000"/>
                <w:sz w:val="18"/>
                <w:szCs w:val="18"/>
              </w:rPr>
              <w:t>3.按照法律法规、监管规定及与投资者约定的信息披露渠道及时披露理财产品相关信息；</w:t>
            </w:r>
          </w:p>
          <w:p>
            <w:pPr>
              <w:spacing w:line="200" w:lineRule="exact"/>
              <w:jc w:val="left"/>
            </w:pPr>
            <w:r>
              <w:rPr>
                <w:rFonts w:ascii="方正黑体_GBK" w:hAnsi="方正黑体_GBK" w:eastAsia="方正黑体_GBK" w:cs="宋体"/>
                <w:color w:val="000000"/>
                <w:sz w:val="18"/>
                <w:szCs w:val="18"/>
              </w:rPr>
              <w:t>4.按照理财产品销售文件约定的投资范围和权限，负责理财产品资金的运用和管理，向投资者进行收益分配；</w:t>
            </w:r>
          </w:p>
          <w:p>
            <w:pPr>
              <w:spacing w:line="200" w:lineRule="exact"/>
              <w:jc w:val="left"/>
            </w:pPr>
            <w:r>
              <w:rPr>
                <w:rFonts w:ascii="方正黑体_GBK" w:hAnsi="方正黑体_GBK" w:eastAsia="方正黑体_GBK" w:cs="宋体"/>
                <w:color w:val="000000"/>
                <w:sz w:val="18"/>
                <w:szCs w:val="18"/>
              </w:rPr>
              <w:t>5.审慎选择理财产品销售机构，切实履行对销售机构的管理责任；</w:t>
            </w:r>
          </w:p>
          <w:p>
            <w:pPr>
              <w:spacing w:line="200" w:lineRule="exact"/>
              <w:jc w:val="left"/>
            </w:pPr>
            <w:r>
              <w:rPr>
                <w:rFonts w:ascii="方正黑体_GBK" w:hAnsi="方正黑体_GBK" w:eastAsia="方正黑体_GBK" w:cs="宋体"/>
                <w:color w:val="000000"/>
                <w:sz w:val="18"/>
                <w:szCs w:val="18"/>
              </w:rPr>
              <w:t>6.根据法律法规、监管规定建立健全投资者权益保护管理体系；</w:t>
            </w:r>
          </w:p>
          <w:p>
            <w:pPr>
              <w:spacing w:line="200" w:lineRule="exact"/>
              <w:jc w:val="left"/>
            </w:pPr>
            <w:r>
              <w:rPr>
                <w:rFonts w:ascii="方正黑体_GBK" w:hAnsi="方正黑体_GBK" w:eastAsia="方正黑体_GBK" w:cs="宋体"/>
                <w:color w:val="000000"/>
                <w:sz w:val="18"/>
                <w:szCs w:val="18"/>
              </w:rPr>
              <w:t>7.国务院银行业监督管理机构规定及本理财产品销售文件中约定的其他职责。</w:t>
            </w:r>
          </w:p>
        </w:tc>
      </w:tr>
      <w:tr>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销售机构及销售机构职责</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sz w:val="18"/>
                <w:szCs w:val="18"/>
              </w:rPr>
              <w:t>本理财产品销售机构为南银理财有限责任公司、南京银行股份有限公司、齐鲁银行股份有限公司、九江银行股份有限公司、兰州银行股份有限公司、甘肃银行股份有限公司。管理人有权调整本理财产品的销售机构并进行信息披露。</w:t>
            </w:r>
          </w:p>
          <w:p>
            <w:pPr>
              <w:spacing w:line="200" w:lineRule="exact"/>
              <w:jc w:val="left"/>
            </w:pPr>
            <w:r>
              <w:rPr>
                <w:rFonts w:ascii="方正黑体_GBK" w:hAnsi="方正黑体_GBK" w:eastAsia="方正黑体_GBK" w:cs="宋体"/>
                <w:sz w:val="18"/>
                <w:szCs w:val="18"/>
              </w:rPr>
              <w:t>销售机构主要职责如下：</w:t>
            </w:r>
          </w:p>
          <w:p>
            <w:pPr>
              <w:spacing w:line="200" w:lineRule="exact"/>
              <w:jc w:val="left"/>
            </w:pPr>
            <w:r>
              <w:rPr>
                <w:rFonts w:ascii="方正黑体_GBK" w:hAnsi="方正黑体_GBK" w:eastAsia="方正黑体_GBK" w:cs="宋体"/>
                <w:sz w:val="18"/>
                <w:szCs w:val="18"/>
              </w:rPr>
              <w:t>1.按照法律法规、监管规定及理财产品销售文件的约定，开展理财产品销售活动，向投资者充分披露信息和揭示风险；</w:t>
            </w:r>
          </w:p>
          <w:p>
            <w:pPr>
              <w:spacing w:line="200" w:lineRule="exact"/>
              <w:jc w:val="left"/>
            </w:pPr>
            <w:r>
              <w:rPr>
                <w:rFonts w:ascii="方正黑体_GBK" w:hAnsi="方正黑体_GBK" w:eastAsia="方正黑体_GBK" w:cs="宋体"/>
                <w:sz w:val="18"/>
                <w:szCs w:val="18"/>
              </w:rPr>
              <w:t>2.对非机构投资者的风险承受能力进行评估，确保投资者风险承受能力评估的客观性、及时性和有效性；</w:t>
            </w:r>
          </w:p>
          <w:p>
            <w:pPr>
              <w:spacing w:line="200" w:lineRule="exact"/>
              <w:jc w:val="left"/>
            </w:pPr>
            <w:r>
              <w:rPr>
                <w:rFonts w:ascii="方正黑体_GBK" w:hAnsi="方正黑体_GBK" w:eastAsia="方正黑体_GBK" w:cs="宋体"/>
                <w:sz w:val="18"/>
                <w:szCs w:val="18"/>
              </w:rPr>
              <w:t>3.妥善保管投资者理财产品销售相关资料，保管年限不低于20年；</w:t>
            </w:r>
          </w:p>
          <w:p>
            <w:pPr>
              <w:spacing w:line="200" w:lineRule="exact"/>
              <w:jc w:val="left"/>
            </w:pPr>
            <w:r>
              <w:rPr>
                <w:rFonts w:ascii="方正黑体_GBK" w:hAnsi="方正黑体_GBK" w:eastAsia="方正黑体_GBK" w:cs="宋体"/>
                <w:sz w:val="18"/>
                <w:szCs w:val="18"/>
              </w:rPr>
              <w:t>4.根据反洗钱、反恐怖融资及非居民金融账户涉税信息尽职调查等相关法律法规要求识别客户身份；</w:t>
            </w:r>
          </w:p>
          <w:p>
            <w:pPr>
              <w:spacing w:line="200" w:lineRule="exact"/>
              <w:jc w:val="left"/>
            </w:pPr>
            <w:r>
              <w:rPr>
                <w:rFonts w:ascii="方正黑体_GBK" w:hAnsi="方正黑体_GBK" w:eastAsia="方正黑体_GBK" w:cs="宋体"/>
                <w:sz w:val="18"/>
                <w:szCs w:val="18"/>
              </w:rPr>
              <w:t>5.建立健全投资者权益保护管理体系，加强投资者适当性管理；</w:t>
            </w:r>
          </w:p>
          <w:p>
            <w:pPr>
              <w:spacing w:line="200" w:lineRule="exact"/>
            </w:pPr>
            <w:r>
              <w:rPr>
                <w:rFonts w:ascii="方正黑体_GBK" w:hAnsi="方正黑体_GBK" w:eastAsia="方正黑体_GBK" w:cs="宋体"/>
                <w:sz w:val="18"/>
                <w:szCs w:val="18"/>
              </w:rPr>
              <w:t>6.国务院银行业监督管理机构规定及本理财产品管理人与销售机构约定的其他职责。</w:t>
            </w:r>
          </w:p>
        </w:tc>
      </w:tr>
      <w:tr>
        <w:trPr>
          <w:trHeight w:val="34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托管人及托管人职责</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本理财产品托管人为南京银行股份有限公司，主要职责如下：</w:t>
            </w:r>
          </w:p>
          <w:p>
            <w:pPr>
              <w:spacing w:line="200" w:lineRule="exact"/>
            </w:pPr>
            <w:r>
              <w:rPr>
                <w:rFonts w:ascii="方正黑体_GBK" w:hAnsi="方正黑体_GBK" w:eastAsia="方正黑体_GBK" w:cs="宋体"/>
                <w:sz w:val="18"/>
                <w:szCs w:val="18"/>
              </w:rPr>
              <w:t>1.安全保管理财产品财产；</w:t>
            </w:r>
          </w:p>
          <w:p>
            <w:pPr>
              <w:spacing w:line="200" w:lineRule="exact"/>
            </w:pPr>
            <w:r>
              <w:rPr>
                <w:rFonts w:ascii="方正黑体_GBK" w:hAnsi="方正黑体_GBK" w:eastAsia="方正黑体_GBK" w:cs="宋体"/>
                <w:sz w:val="18"/>
                <w:szCs w:val="18"/>
              </w:rPr>
              <w:t>2.为每只理财产品开设独立的托管账户，不同托管账户中的资产应当相互独立；</w:t>
            </w:r>
          </w:p>
          <w:p>
            <w:pPr>
              <w:spacing w:line="200" w:lineRule="exact"/>
            </w:pPr>
            <w:r>
              <w:rPr>
                <w:rFonts w:ascii="方正黑体_GBK" w:hAnsi="方正黑体_GBK" w:eastAsia="方正黑体_GBK" w:cs="宋体"/>
                <w:sz w:val="18"/>
                <w:szCs w:val="18"/>
              </w:rPr>
              <w:t>3.按照托管协议约定和管理人的投资指令，及时办理清算、交割事宜；</w:t>
            </w:r>
          </w:p>
          <w:p>
            <w:pPr>
              <w:spacing w:line="200" w:lineRule="exact"/>
            </w:pPr>
            <w:r>
              <w:rPr>
                <w:rFonts w:ascii="方正黑体_GBK" w:hAnsi="方正黑体_GBK" w:eastAsia="方正黑体_GBK" w:cs="宋体"/>
                <w:sz w:val="18"/>
                <w:szCs w:val="18"/>
              </w:rPr>
              <w:t>4.建立与管理人的对账机制，复核、审查理财产品资金头寸、资产账目、资产净值、认购和赎回价格等数据，及时核查认购、赎回以及投资资金的支付和到账情况；</w:t>
            </w:r>
          </w:p>
          <w:p>
            <w:pPr>
              <w:spacing w:line="200" w:lineRule="exact"/>
            </w:pPr>
            <w:r>
              <w:rPr>
                <w:rFonts w:ascii="方正黑体_GBK" w:hAnsi="方正黑体_GBK" w:eastAsia="方正黑体_GBK" w:cs="宋体"/>
                <w:sz w:val="18"/>
                <w:szCs w:val="18"/>
              </w:rPr>
              <w:t>5.监督理财产品投资运作，发现理财产品违反法律、行政法规、规章规定或合同约定进行投资的，应当拒绝执行，及时通知管理人并报告银行业监督管理机构；</w:t>
            </w:r>
          </w:p>
          <w:p>
            <w:pPr>
              <w:spacing w:line="200" w:lineRule="exact"/>
            </w:pPr>
            <w:r>
              <w:rPr>
                <w:rFonts w:ascii="方正黑体_GBK" w:hAnsi="方正黑体_GBK" w:eastAsia="方正黑体_GBK"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spacing w:line="200" w:lineRule="exact"/>
            </w:pPr>
            <w:r>
              <w:rPr>
                <w:rFonts w:ascii="方正黑体_GBK" w:hAnsi="方正黑体_GBK" w:eastAsia="方正黑体_GBK" w:cs="宋体"/>
                <w:sz w:val="18"/>
                <w:szCs w:val="18"/>
              </w:rPr>
              <w:t>7.理财托管业务活动的记录、账册、报表和其他相关资料保存20年以上；</w:t>
            </w:r>
          </w:p>
          <w:p>
            <w:pPr>
              <w:spacing w:line="200" w:lineRule="exact"/>
            </w:pPr>
            <w:r>
              <w:rPr>
                <w:rFonts w:ascii="方正黑体_GBK" w:hAnsi="方正黑体_GBK" w:eastAsia="方正黑体_GBK" w:cs="宋体"/>
                <w:sz w:val="18"/>
                <w:szCs w:val="18"/>
              </w:rPr>
              <w:t>8.对理财产品投资信息和相关资料承担保密责任，除法律、行政法规、规章规定、审计要求或者合同约定外，不得向任何机构或者个人提供相关信息和资料；</w:t>
            </w:r>
          </w:p>
          <w:p>
            <w:pPr>
              <w:spacing w:line="200" w:lineRule="exact"/>
            </w:pPr>
            <w:r>
              <w:rPr>
                <w:rFonts w:ascii="方正黑体_GBK" w:hAnsi="方正黑体_GBK" w:eastAsia="方正黑体_GBK" w:cs="宋体"/>
                <w:sz w:val="18"/>
                <w:szCs w:val="18"/>
              </w:rPr>
              <w:t>9.国务院银行业监督管理机构规定及本理财产品相关托管协议中约定的其他职责。</w:t>
            </w:r>
          </w:p>
        </w:tc>
      </w:tr>
      <w:tr>
        <w:trPr>
          <w:trHeight w:val="59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拟进行合作的理财投资合作机构</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理财产品合作机构为国投泰康信托有限公司、华润深国投信托有限公司、江苏省国际信托有限责任公司、平安资产管理有限责任公司、泰康资产管理有限责任公司、太平洋资产管理有限责任公司、中粮信托有限责任公司、鑫元基金管理有限公司、鑫沅资产管理有限公司，上述投资合作机构主要职责对应如下，具体职责以管理人与投资合作机构签署的合同为准。</w:t>
            </w:r>
          </w:p>
          <w:p>
            <w:pPr>
              <w:spacing w:line="200" w:lineRule="exact"/>
            </w:pPr>
            <w:r>
              <w:rPr>
                <w:rFonts w:ascii="方正黑体_GBK" w:hAnsi="方正黑体_GBK" w:eastAsia="方正黑体_GBK" w:cs="宋体"/>
                <w:sz w:val="18"/>
                <w:szCs w:val="18"/>
              </w:rPr>
              <w:t>1.合作机构为理财产品所投资资产管理产品的发行机构，主要承担资产管理产品的管理人职责：平安资产管理有限责任公司、太平洋资产管理有限责任公司。</w:t>
            </w:r>
          </w:p>
          <w:p>
            <w:pPr>
              <w:spacing w:line="200" w:lineRule="exact"/>
            </w:pPr>
            <w:r>
              <w:rPr>
                <w:rFonts w:ascii="方正黑体_GBK" w:hAnsi="方正黑体_GBK" w:eastAsia="方正黑体_GBK" w:cs="宋体"/>
                <w:sz w:val="18"/>
                <w:szCs w:val="18"/>
              </w:rPr>
              <w:t>2.合作机构为从事理财产品受托投资的机构，主要承担根据合同约定进行受托资金的投资管理的职责：国投泰康信托有限公司、华润深国投信托有限公司、江苏省国际信托有限责任公司、泰康资产管理有限责任公司、中粮信托有限责任公司、鑫元基金管理有限公司、鑫沅资产管理有限公司。</w:t>
            </w:r>
          </w:p>
          <w:p>
            <w:pPr>
              <w:spacing w:line="200" w:lineRule="exact"/>
            </w:pPr>
            <w:r>
              <w:rPr>
                <w:rFonts w:ascii="方正黑体_GBK" w:hAnsi="方正黑体_GBK" w:eastAsia="方正黑体_GBK" w:cs="宋体"/>
                <w:sz w:val="18"/>
                <w:szCs w:val="18"/>
              </w:rPr>
              <w:t>若上述合作机构及其职责发生调整，管理人将在本理财产品的定期报告中进行信息披露。</w:t>
            </w:r>
          </w:p>
          <w:p>
            <w:pPr>
              <w:spacing w:line="200" w:lineRule="exact"/>
            </w:pPr>
            <w:r>
              <w:rPr>
                <w:rFonts w:ascii="方正黑体_GBK" w:hAnsi="方正黑体_GBK" w:eastAsia="方正黑体_GBK" w:cs="宋体"/>
                <w:sz w:val="18"/>
                <w:szCs w:val="18"/>
              </w:rPr>
              <w:t>上述投资合作机构简介：</w:t>
            </w:r>
          </w:p>
          <w:p>
            <w:pPr>
              <w:spacing w:line="200" w:lineRule="exact"/>
            </w:pPr>
            <w:r>
              <w:rPr>
                <w:rFonts w:ascii="方正黑体_GBK" w:hAnsi="方正黑体_GBK" w:eastAsia="方正黑体_GBK" w:cs="宋体"/>
                <w:sz w:val="18"/>
                <w:szCs w:val="18"/>
              </w:rPr>
              <w:t>国投泰康信托有限公司成立于1986年06月26日，注册资本金267,054.5454万人民币。</w:t>
            </w:r>
          </w:p>
          <w:p>
            <w:pPr>
              <w:spacing w:line="200" w:lineRule="exact"/>
            </w:pPr>
            <w:r>
              <w:rPr>
                <w:rFonts w:ascii="方正黑体_GBK" w:hAnsi="方正黑体_GBK" w:eastAsia="方正黑体_GBK" w:cs="宋体"/>
                <w:sz w:val="18"/>
                <w:szCs w:val="18"/>
              </w:rPr>
              <w:t>华润深国投信托有限公司成立于1982年08月24日，注册资本金110亿元。</w:t>
            </w:r>
          </w:p>
          <w:p>
            <w:pPr>
              <w:spacing w:line="200" w:lineRule="exact"/>
            </w:pPr>
            <w:r>
              <w:rPr>
                <w:rFonts w:ascii="方正黑体_GBK" w:hAnsi="方正黑体_GBK" w:eastAsia="方正黑体_GBK" w:cs="宋体"/>
                <w:sz w:val="18"/>
                <w:szCs w:val="18"/>
              </w:rPr>
              <w:t>江苏省国际信托有限责任公司成立于1992年06月01日，注册资本金87.60亿元。</w:t>
            </w:r>
          </w:p>
          <w:p>
            <w:pPr>
              <w:spacing w:line="200" w:lineRule="exact"/>
            </w:pPr>
            <w:r>
              <w:rPr>
                <w:rFonts w:ascii="方正黑体_GBK" w:hAnsi="方正黑体_GBK" w:eastAsia="方正黑体_GBK" w:cs="宋体"/>
                <w:sz w:val="18"/>
                <w:szCs w:val="18"/>
              </w:rPr>
              <w:t>平安资产管理有限责任公司成立于2005年05月27日，注册资本金15亿元。</w:t>
            </w:r>
          </w:p>
          <w:p>
            <w:pPr>
              <w:spacing w:line="200" w:lineRule="exact"/>
            </w:pPr>
            <w:r>
              <w:rPr>
                <w:rFonts w:ascii="方正黑体_GBK" w:hAnsi="方正黑体_GBK" w:eastAsia="方正黑体_GBK" w:cs="宋体"/>
                <w:sz w:val="18"/>
                <w:szCs w:val="18"/>
              </w:rPr>
              <w:t>泰康资产管理有限责任公司成立于2006年02月21日，注册资本金10亿元。</w:t>
            </w:r>
          </w:p>
          <w:p>
            <w:pPr>
              <w:spacing w:line="200" w:lineRule="exact"/>
            </w:pPr>
            <w:r>
              <w:rPr>
                <w:rFonts w:ascii="方正黑体_GBK" w:hAnsi="方正黑体_GBK" w:eastAsia="方正黑体_GBK" w:cs="宋体"/>
                <w:sz w:val="18"/>
                <w:szCs w:val="18"/>
              </w:rPr>
              <w:t>太平洋资产管理有限责任公司成立于2006年06月09日，注册资本金21亿元。</w:t>
            </w:r>
          </w:p>
          <w:p>
            <w:pPr>
              <w:spacing w:line="200" w:lineRule="exact"/>
            </w:pPr>
            <w:r>
              <w:rPr>
                <w:rFonts w:ascii="方正黑体_GBK" w:hAnsi="方正黑体_GBK" w:eastAsia="方正黑体_GBK" w:cs="宋体"/>
                <w:sz w:val="18"/>
                <w:szCs w:val="18"/>
              </w:rPr>
              <w:t>中粮信托有限责任公司成立于2009年07月27日，注册资本金28.3亿元。</w:t>
            </w:r>
          </w:p>
          <w:p>
            <w:pPr>
              <w:spacing w:line="200" w:lineRule="exact"/>
            </w:pPr>
            <w:r>
              <w:rPr>
                <w:rFonts w:ascii="方正黑体_GBK" w:hAnsi="方正黑体_GBK" w:eastAsia="方正黑体_GBK" w:cs="宋体"/>
                <w:sz w:val="18"/>
                <w:szCs w:val="18"/>
              </w:rPr>
              <w:t>鑫元基金管理有限公司成立于2013年08月29日，注册资本金17亿元。</w:t>
            </w:r>
          </w:p>
          <w:p>
            <w:pPr>
              <w:spacing w:line="200" w:lineRule="exact"/>
            </w:pPr>
            <w:r>
              <w:rPr>
                <w:rFonts w:ascii="方正黑体_GBK" w:hAnsi="方正黑体_GBK" w:eastAsia="方正黑体_GBK" w:cs="宋体"/>
                <w:sz w:val="18"/>
                <w:szCs w:val="18"/>
              </w:rPr>
              <w:t>鑫沅资产管理有限公司成立于2014年02月19日，注册资本金15.5亿元。</w:t>
            </w:r>
          </w:p>
        </w:tc>
      </w:tr>
      <w:tr>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巨额赎回</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本理财产品单个开放日净赎回申请超过前一产品工作日日终本理财产品总份额的10%时，触发巨额赎回，在赎回确认日管理人办理的赎回份额将不低于前一产品工作日日终理财产品总份额的10%。</w:t>
            </w:r>
          </w:p>
          <w:p>
            <w:pPr>
              <w:spacing w:line="200" w:lineRule="exact"/>
            </w:pPr>
            <w:r>
              <w:rPr>
                <w:rFonts w:ascii="方正黑体_GBK" w:hAnsi="方正黑体_GBK" w:eastAsia="方正黑体_GBK" w:cs="宋体"/>
                <w:sz w:val="18"/>
                <w:szCs w:val="18"/>
              </w:rPr>
              <w:t>本理财产品在开放日发生巨额赎回时，管理人有权根据产品的实际运作情况采取如下措施中的一种：</w:t>
            </w:r>
          </w:p>
          <w:p>
            <w:pPr>
              <w:spacing w:line="200" w:lineRule="exact"/>
            </w:pPr>
            <w:r>
              <w:rPr>
                <w:rFonts w:ascii="方正黑体_GBK" w:hAnsi="方正黑体_GBK" w:eastAsia="方正黑体_GBK" w:cs="宋体"/>
                <w:sz w:val="18"/>
                <w:szCs w:val="18"/>
              </w:rPr>
              <w:t>1.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10%，并按单个投资者的赎回申请份额占当日所有投资者的净赎回申请总份额的比例，确认该投资者当日办理的赎回申请份额，对于其余赎回申请管理人可暂停接受或延期办理。</w:t>
            </w:r>
          </w:p>
          <w:p>
            <w:pPr>
              <w:spacing w:line="200" w:lineRule="exact"/>
            </w:pPr>
            <w:r>
              <w:rPr>
                <w:rFonts w:ascii="方正黑体_GBK" w:hAnsi="方正黑体_GBK" w:eastAsia="方正黑体_GBK" w:cs="宋体"/>
                <w:sz w:val="18"/>
                <w:szCs w:val="18"/>
              </w:rPr>
              <w:t>（1）投资者在申请赎回时可选择将当日未获办理部分予以撤销，即暂停接受情形，管理人将拒绝该部分赎回申请，撤销的部分投资者可在下一个产品开放日再次发起赎回申请。</w:t>
            </w:r>
          </w:p>
          <w:p>
            <w:pPr>
              <w:spacing w:line="200" w:lineRule="exact"/>
            </w:pPr>
            <w:r>
              <w:rPr>
                <w:rFonts w:ascii="方正黑体_GBK" w:hAnsi="方正黑体_GBK" w:eastAsia="方正黑体_GBK" w:cs="宋体"/>
                <w:sz w:val="18"/>
                <w:szCs w:val="18"/>
              </w:rPr>
              <w:t>（2）投资者未选择撤销的，即延期办理情形，管理人或销售机构将在下一个产品开放日自动为投资者发起该部分的赎回，赎回净值为下一个产品开放日的净值，直至该部分全部被确认。在延期办理的部分全部被确认前，投资者不可撤销该部分的赎回申请。</w:t>
            </w:r>
          </w:p>
          <w:p>
            <w:pPr>
              <w:spacing w:line="200" w:lineRule="exact"/>
            </w:pPr>
            <w:r>
              <w:rPr>
                <w:rFonts w:ascii="方正黑体_GBK" w:hAnsi="方正黑体_GBK" w:eastAsia="方正黑体_GBK" w:cs="宋体"/>
                <w:sz w:val="18"/>
                <w:szCs w:val="18"/>
              </w:rPr>
              <w:t>具体服务投资者可详询代销机构，最终以代销机构提供的服务为准。</w:t>
            </w:r>
          </w:p>
          <w:p>
            <w:pPr>
              <w:spacing w:line="200" w:lineRule="exact"/>
            </w:pPr>
            <w:r>
              <w:rPr>
                <w:rFonts w:ascii="方正黑体_GBK" w:hAnsi="方正黑体_GBK" w:eastAsia="方正黑体_GBK" w:cs="宋体"/>
                <w:sz w:val="18"/>
                <w:szCs w:val="18"/>
              </w:rPr>
              <w:t>2.接受全额赎回：当管理人认为有能力兑付投资者的全部赎回申请时，将在赎回确认日按正常赎回程序执行。</w:t>
            </w:r>
          </w:p>
          <w:p>
            <w:pPr>
              <w:spacing w:line="200" w:lineRule="exact"/>
            </w:pPr>
            <w:r>
              <w:rPr>
                <w:rFonts w:ascii="方正黑体_GBK" w:hAnsi="方正黑体_GBK" w:eastAsia="方正黑体_GBK" w:cs="宋体"/>
                <w:sz w:val="18"/>
                <w:szCs w:val="18"/>
              </w:rPr>
              <w:t>本理财产品发生巨额赎回、管理人接受部分赎回时，对于暂停接受和延期办理的部分，管理人可能需在下一个申购或赎回开放日才可确认，可能影响投资者的资金安排。</w:t>
            </w:r>
          </w:p>
        </w:tc>
      </w:tr>
      <w:tr>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连续巨额赎回</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color w:val="000000"/>
                <w:sz w:val="18"/>
                <w:szCs w:val="18"/>
              </w:rPr>
              <w:t>当本理财产品连续2个以上开放日发生巨额赎回时，除采取上述措施外，对于已经接受的赎回申请，管理人有权延缓支付赎回款项，但延缓期限不得超过20个工作日。此种情况下，管理人将在3个交易日内进行信息披露，投资者需重新进行资金安排。</w:t>
            </w:r>
          </w:p>
        </w:tc>
      </w:tr>
      <w:tr>
        <w:trPr>
          <w:trHeight w:val="34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暂停接受认申购</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发生下列情形时，管理人可暂停接受投资者认申购申请：</w:t>
            </w:r>
          </w:p>
          <w:p>
            <w:pPr>
              <w:spacing w:line="200" w:lineRule="exact"/>
            </w:pPr>
            <w:r>
              <w:rPr>
                <w:rFonts w:ascii="方正黑体_GBK" w:hAnsi="方正黑体_GBK" w:eastAsia="方正黑体_GBK" w:cs="宋体"/>
                <w:sz w:val="18"/>
                <w:szCs w:val="18"/>
              </w:rPr>
              <w:t>1.因不可抗力导致理财产品无法正常运作；</w:t>
            </w:r>
          </w:p>
          <w:p>
            <w:pPr>
              <w:spacing w:line="200" w:lineRule="exact"/>
            </w:pPr>
            <w:r>
              <w:rPr>
                <w:rFonts w:ascii="方正黑体_GBK" w:hAnsi="方正黑体_GBK" w:eastAsia="方正黑体_GBK" w:cs="宋体"/>
                <w:sz w:val="18"/>
                <w:szCs w:val="18"/>
              </w:rPr>
              <w:t>2.因监管政策、市场发生重大变化，导致理财产品无法正常运作；</w:t>
            </w:r>
          </w:p>
          <w:p>
            <w:pPr>
              <w:spacing w:line="200" w:lineRule="exact"/>
            </w:pPr>
            <w:r>
              <w:rPr>
                <w:rFonts w:ascii="方正黑体_GBK" w:hAnsi="方正黑体_GBK" w:eastAsia="方正黑体_GBK" w:cs="宋体"/>
                <w:sz w:val="18"/>
                <w:szCs w:val="18"/>
              </w:rPr>
              <w:t>3.管理人认为需要暂停认申购的其他情形。</w:t>
            </w:r>
          </w:p>
          <w:p>
            <w:pPr>
              <w:spacing w:line="200" w:lineRule="exact"/>
            </w:pPr>
            <w:r>
              <w:rPr>
                <w:rFonts w:ascii="方正黑体_GBK" w:hAnsi="方正黑体_GBK" w:eastAsia="方正黑体_GBK" w:cs="宋体"/>
                <w:sz w:val="18"/>
                <w:szCs w:val="18"/>
              </w:rPr>
              <w:t>若管理人暂停接受认申购申请，将在3个交易日内告知该理财产品的投资者，并说明运用相关措施的原因、拟采取的应对安排等。在暂停接受认申购申请期间，投资者需重新进行资金安排。</w:t>
            </w:r>
          </w:p>
        </w:tc>
      </w:tr>
      <w:tr>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暂停接受赎回</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color w:val="000000"/>
                <w:sz w:val="18"/>
                <w:szCs w:val="18"/>
              </w:rPr>
              <w:t>发生下列情形时，管理人可暂停接受投资者的赎回申请：</w:t>
            </w:r>
          </w:p>
          <w:p>
            <w:pPr>
              <w:spacing w:line="200" w:lineRule="exact"/>
              <w:jc w:val="left"/>
            </w:pPr>
            <w:r>
              <w:rPr>
                <w:rFonts w:ascii="方正黑体_GBK" w:hAnsi="方正黑体_GBK" w:eastAsia="方正黑体_GBK" w:cs="宋体"/>
                <w:color w:val="000000"/>
                <w:sz w:val="18"/>
                <w:szCs w:val="18"/>
              </w:rPr>
              <w:t>1.因不可抗力导致管理人不能支付赎回款项；</w:t>
            </w:r>
          </w:p>
          <w:p>
            <w:pPr>
              <w:spacing w:line="200" w:lineRule="exact"/>
              <w:jc w:val="left"/>
            </w:pPr>
            <w:r>
              <w:rPr>
                <w:rFonts w:ascii="方正黑体_GBK" w:hAnsi="方正黑体_GBK" w:eastAsia="方正黑体_GBK" w:cs="宋体"/>
                <w:color w:val="000000"/>
                <w:sz w:val="18"/>
                <w:szCs w:val="18"/>
              </w:rPr>
              <w:t>2.银行间市场或证券交易所交易时间非正常停市，导致管理人无法计算当日理财产品资产净值；</w:t>
            </w:r>
          </w:p>
          <w:p>
            <w:pPr>
              <w:spacing w:line="200" w:lineRule="exact"/>
              <w:jc w:val="left"/>
            </w:pPr>
            <w:r>
              <w:rPr>
                <w:rFonts w:ascii="方正黑体_GBK" w:hAnsi="方正黑体_GBK" w:eastAsia="方正黑体_GBK" w:cs="宋体"/>
                <w:color w:val="000000"/>
                <w:sz w:val="18"/>
                <w:szCs w:val="18"/>
              </w:rPr>
              <w:t>3.管理人、法律法规规定或监管认定的其他情形。</w:t>
            </w:r>
          </w:p>
          <w:p>
            <w:pPr>
              <w:spacing w:line="200" w:lineRule="exact"/>
              <w:jc w:val="left"/>
            </w:pPr>
            <w:r>
              <w:rPr>
                <w:rFonts w:ascii="方正黑体_GBK" w:hAnsi="方正黑体_GBK" w:eastAsia="方正黑体_GBK" w:cs="宋体"/>
                <w:color w:val="000000"/>
                <w:sz w:val="18"/>
                <w:szCs w:val="18"/>
              </w:rPr>
              <w:t>若管理人暂停接受赎回申请，将在3个交易日内告知该理财产品的投资者，并说明运用相关措施的原因、拟采取的应对安排等。</w:t>
            </w:r>
          </w:p>
          <w:p>
            <w:pPr>
              <w:spacing w:line="200" w:lineRule="exact"/>
              <w:jc w:val="left"/>
            </w:pPr>
            <w:r>
              <w:rPr>
                <w:rFonts w:ascii="方正黑体_GBK" w:hAnsi="方正黑体_GBK" w:eastAsia="方正黑体_GBK" w:cs="宋体"/>
                <w:color w:val="000000"/>
                <w:sz w:val="18"/>
                <w:szCs w:val="18"/>
              </w:rPr>
              <w:t>在暂停接受赎回申请期间，投资者将无法获得赎回资金，需重新进行资金安排。</w:t>
            </w:r>
          </w:p>
        </w:tc>
      </w:tr>
      <w:tr>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其他说明事项</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color w:val="000000"/>
                <w:sz w:val="18"/>
                <w:szCs w:val="18"/>
              </w:rPr>
              <w:t>1.持有期7天以内的份额不可提出赎回申请，投资者应考虑产品最低持有期限并合理安排自身投资计划。</w:t>
            </w:r>
          </w:p>
          <w:p>
            <w:pPr>
              <w:spacing w:line="200" w:lineRule="exact"/>
              <w:jc w:val="left"/>
            </w:pPr>
            <w:r>
              <w:rPr>
                <w:rFonts w:ascii="方正黑体_GBK" w:hAnsi="方正黑体_GBK" w:eastAsia="方正黑体_GBK" w:cs="宋体"/>
                <w:color w:val="000000"/>
                <w:sz w:val="18"/>
                <w:szCs w:val="18"/>
              </w:rPr>
              <w:t>2.管理人在本理财产品存续期间按照监管规定进行信息披露，详见本理财产品说明书第五条信息披露。</w:t>
            </w:r>
          </w:p>
          <w:p>
            <w:pPr>
              <w:spacing w:line="200" w:lineRule="exact"/>
              <w:jc w:val="left"/>
            </w:pPr>
            <w:r>
              <w:rPr>
                <w:rFonts w:ascii="方正黑体_GBK" w:hAnsi="方正黑体_GBK" w:eastAsia="方正黑体_GBK" w:cs="宋体"/>
                <w:color w:val="000000"/>
                <w:sz w:val="18"/>
                <w:szCs w:val="18"/>
              </w:rPr>
              <w:t>3.本理财产品投资的资产管理产品的业绩报酬、赎回费等的提取（如有）可能造成本理财产品净值的下降。</w:t>
            </w:r>
          </w:p>
        </w:tc>
      </w:tr>
      <w:tr>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税务处理</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pPr>
        <w:pStyle w:val="31"/>
        <w:rPr>
          <w:rFonts w:hint="eastAsia" w:ascii="方正黑体_GBK" w:hAnsi="方正黑体_GBK" w:eastAsia="方正黑体_GBK"/>
          <w:b/>
          <w:sz w:val="15"/>
          <w:szCs w:val="15"/>
        </w:rPr>
      </w:pPr>
      <w:r>
        <w:rPr>
          <w:rFonts w:ascii="方正黑体_GBK" w:hAnsi="方正黑体_GBK" w:eastAsia="方正黑体_GBK"/>
          <w:b/>
          <w:caps w:val="0"/>
          <w:smallCaps w:val="0"/>
          <w:snapToGrid/>
          <w:vanish w:val="0"/>
          <w:color w:val="auto"/>
          <w:sz w:val="15"/>
          <w:szCs w:val="15"/>
          <w:vertAlign w:val="baseline"/>
        </w:rPr>
        <w:t>特别说明：本理财产品无预期收益率，</w:t>
      </w:r>
      <w:r>
        <w:rPr>
          <w:rFonts w:ascii="方正黑体_GBK" w:hAnsi="方正黑体_GBK" w:eastAsia="方正黑体_GBK"/>
          <w:b/>
          <w:caps w:val="0"/>
          <w:smallCaps w:val="0"/>
          <w:snapToGrid/>
          <w:vanish w:val="0"/>
          <w:color w:val="auto"/>
          <w:sz w:val="15"/>
          <w:szCs w:val="15"/>
          <w:u w:val="single"/>
          <w:vertAlign w:val="baseline"/>
        </w:rPr>
        <w:t>理财产品过往业绩不代表其未来表现，不等于理财产品实际收益，</w:t>
      </w:r>
      <w:r>
        <w:rPr>
          <w:rFonts w:ascii="方正黑体_GBK" w:hAnsi="方正黑体_GBK" w:eastAsia="方正黑体_GBK"/>
          <w:b/>
          <w:caps w:val="0"/>
          <w:smallCaps w:val="0"/>
          <w:snapToGrid/>
          <w:vanish w:val="0"/>
          <w:color w:val="auto"/>
          <w:sz w:val="15"/>
          <w:szCs w:val="15"/>
          <w:vertAlign w:val="baseline"/>
        </w:rPr>
        <w:t>投资须谨慎。</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outlineLvl w:val="0"/>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第二条</w:t>
      </w:r>
      <w:r>
        <w:rPr>
          <w:rFonts w:hint="eastAsia" w:ascii="方正黑体_GBK" w:hAnsi="方正黑体_GBK" w:eastAsia="方正黑体_GBK" w:cs="Times New Roman"/>
          <w:b/>
          <w:bCs/>
          <w:vanish w:val="0"/>
          <w:color w:val="3D3D3D"/>
          <w:kern w:val="0"/>
          <w:sz w:val="15"/>
          <w:szCs w:val="15"/>
        </w:rPr>
        <w:t xml:space="preserve">  </w:t>
      </w:r>
      <w:r>
        <w:rPr>
          <w:rFonts w:hint="eastAsia" w:ascii="方正黑体_GBK" w:hAnsi="方正黑体_GBK" w:eastAsia="方正黑体_GBK"/>
          <w:b/>
          <w:bCs/>
          <w:vanish w:val="0"/>
          <w:color w:val="3D3D3D"/>
          <w:kern w:val="0"/>
          <w:sz w:val="15"/>
          <w:szCs w:val="15"/>
        </w:rPr>
        <w:t>名词释义</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89"/>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在本理财产品说明书中，除非上下文另有明确约定，下列用词将具有如下含义：</w:t>
      </w:r>
    </w:p>
    <w:p>
      <w:pPr>
        <w:pStyle w:val="4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参与主体用语</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1.南银理财/管理人/</w:t>
      </w:r>
      <w:r>
        <w:rPr>
          <w:rFonts w:hint="eastAsia" w:ascii="方正黑体_GBK" w:hAnsi="方正黑体_GBK" w:eastAsia="方正黑体_GBK"/>
          <w:color w:val="3D3D3D"/>
          <w:kern w:val="0"/>
          <w:sz w:val="15"/>
          <w:szCs w:val="15"/>
          <w:highlight w:val="none"/>
          <w:lang w:val="en-US" w:eastAsia="zh-CN"/>
        </w:rPr>
        <w:t>产品管理人/</w:t>
      </w:r>
      <w:r>
        <w:rPr>
          <w:rFonts w:ascii="方正黑体_GBK" w:hAnsi="方正黑体_GBK" w:eastAsia="方正黑体_GBK"/>
          <w:color w:val="3D3D3D"/>
          <w:kern w:val="0"/>
          <w:sz w:val="15"/>
          <w:szCs w:val="15"/>
          <w:highlight w:val="none"/>
        </w:rPr>
        <w:t>理财产品管理人：指南银理财有限责任公司。</w:t>
      </w:r>
    </w:p>
    <w:p>
      <w:pPr>
        <w:pStyle w:val="46"/>
        <w:keepNext w:val="0"/>
        <w:keepLines w:val="0"/>
        <w:pageBreakBefore w:val="0"/>
        <w:widowControl/>
        <w:suppressLineNumbers w:val="0"/>
        <w:tabs>
          <w:tab w:val="left" w:pos="567"/>
        </w:tabs>
        <w:suppressAutoHyphens w:val="0"/>
        <w:spacing w:line="200" w:lineRule="exact"/>
        <w:ind w:firstLine="0"/>
        <w:outlineLvl w:val="1"/>
        <w:rPr>
          <w:color w:val="3D3D3D"/>
          <w:kern w:val="0"/>
          <w:sz w:val="15"/>
          <w:szCs w:val="15"/>
          <w:highlight w:val="none"/>
        </w:rPr>
      </w:pPr>
      <w:r>
        <w:rPr>
          <w:rFonts w:hint="eastAsia" w:ascii="方正黑体_GBK" w:hAnsi="方正黑体_GBK" w:eastAsia="方正黑体_GBK"/>
          <w:color w:val="3D3D3D"/>
          <w:kern w:val="0"/>
          <w:sz w:val="15"/>
          <w:szCs w:val="15"/>
          <w:highlight w:val="none"/>
          <w:lang w:eastAsia="zh-CN"/>
        </w:rPr>
        <w:t xml:space="preserve">     2.销售</w:t>
      </w:r>
      <w:r>
        <w:rPr>
          <w:rFonts w:hint="eastAsia" w:ascii="方正黑体_GBK" w:hAnsi="方正黑体_GBK" w:eastAsia="方正黑体_GBK"/>
          <w:color w:val="3D3D3D"/>
          <w:kern w:val="0"/>
          <w:sz w:val="15"/>
          <w:szCs w:val="15"/>
          <w:highlight w:val="none"/>
        </w:rPr>
        <w:t>机构：指</w:t>
      </w:r>
      <w:r>
        <w:rPr>
          <w:rFonts w:hint="eastAsia" w:ascii="方正黑体_GBK" w:hAnsi="方正黑体_GBK" w:eastAsia="方正黑体_GBK"/>
          <w:color w:val="3D3D3D"/>
          <w:kern w:val="0"/>
          <w:sz w:val="15"/>
          <w:szCs w:val="15"/>
          <w:highlight w:val="none"/>
          <w:lang w:eastAsia="zh-CN"/>
        </w:rPr>
        <w:t>本</w:t>
      </w:r>
      <w:r>
        <w:rPr>
          <w:rFonts w:hint="eastAsia" w:ascii="方正黑体_GBK" w:hAnsi="方正黑体_GBK" w:eastAsia="方正黑体_GBK"/>
          <w:color w:val="3D3D3D"/>
          <w:kern w:val="0"/>
          <w:sz w:val="15"/>
          <w:szCs w:val="15"/>
          <w:highlight w:val="none"/>
        </w:rPr>
        <w:t>理财产品的销售机构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lang w:val="en-US" w:eastAsia="zh-CN"/>
        </w:rPr>
        <w:t>包括</w:t>
      </w:r>
      <w:r>
        <w:rPr>
          <w:rFonts w:hint="eastAsia" w:ascii="方正黑体_GBK" w:hAnsi="方正黑体_GBK" w:eastAsia="方正黑体_GBK"/>
          <w:color w:val="3D3D3D"/>
          <w:kern w:val="0"/>
          <w:sz w:val="15"/>
          <w:szCs w:val="15"/>
          <w:highlight w:val="none"/>
        </w:rPr>
        <w:t>销售本公司发行理财产品的理财公司</w:t>
      </w:r>
      <w:r>
        <w:rPr>
          <w:rFonts w:hint="eastAsia" w:ascii="方正黑体_GBK" w:hAnsi="方正黑体_GBK" w:eastAsia="方正黑体_GBK"/>
          <w:color w:val="3D3D3D"/>
          <w:kern w:val="0"/>
          <w:sz w:val="15"/>
          <w:szCs w:val="15"/>
          <w:highlight w:val="none"/>
          <w:lang w:val="en-US" w:eastAsia="zh-CN"/>
        </w:rPr>
        <w:t>即南银理财，以及</w:t>
      </w:r>
      <w:r>
        <w:rPr>
          <w:rFonts w:hint="eastAsia" w:ascii="方正黑体_GBK" w:hAnsi="方正黑体_GBK" w:eastAsia="方正黑体_GBK"/>
          <w:color w:val="3D3D3D"/>
          <w:kern w:val="0"/>
          <w:sz w:val="15"/>
          <w:szCs w:val="15"/>
          <w:highlight w:val="none"/>
        </w:rPr>
        <w:t>接受</w:t>
      </w:r>
      <w:r>
        <w:rPr>
          <w:rFonts w:hint="eastAsia" w:ascii="方正黑体_GBK" w:hAnsi="方正黑体_GBK" w:eastAsia="方正黑体_GBK"/>
          <w:color w:val="3D3D3D"/>
          <w:kern w:val="0"/>
          <w:sz w:val="15"/>
          <w:szCs w:val="15"/>
          <w:highlight w:val="none"/>
          <w:lang w:val="en-US" w:eastAsia="zh-CN"/>
        </w:rPr>
        <w:t>南银理财</w:t>
      </w:r>
      <w:r>
        <w:rPr>
          <w:rFonts w:hint="eastAsia" w:ascii="方正黑体_GBK" w:hAnsi="方正黑体_GBK" w:eastAsia="方正黑体_GBK"/>
          <w:color w:val="3D3D3D"/>
          <w:kern w:val="0"/>
          <w:sz w:val="15"/>
          <w:szCs w:val="15"/>
          <w:highlight w:val="none"/>
        </w:rPr>
        <w:t>委托销售其发行理财产品的代理销售机构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lang w:val="en-US" w:eastAsia="zh-CN"/>
        </w:rPr>
        <w:t>代销机构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rPr>
        <w:t>。</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3.托管人：</w:t>
      </w:r>
      <w:r>
        <w:rPr>
          <w:rFonts w:hint="eastAsia" w:ascii="方正黑体_GBK" w:hAnsi="方正黑体_GBK" w:eastAsia="方正黑体_GBK"/>
          <w:color w:val="3D3D3D"/>
          <w:kern w:val="0"/>
          <w:sz w:val="15"/>
          <w:szCs w:val="15"/>
          <w:highlight w:val="none"/>
        </w:rPr>
        <w:t>指根据管理人委托，对理财产品财产进行托管的机构</w:t>
      </w:r>
      <w:r>
        <w:rPr>
          <w:rFonts w:ascii="方正黑体_GBK" w:hAnsi="方正黑体_GBK" w:eastAsia="方正黑体_GBK"/>
          <w:color w:val="3D3D3D"/>
          <w:kern w:val="0"/>
          <w:sz w:val="15"/>
          <w:szCs w:val="15"/>
          <w:highlight w:val="none"/>
        </w:rPr>
        <w:t>。</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4.认购</w:t>
      </w:r>
      <w:r>
        <w:rPr>
          <w:rFonts w:hint="eastAsia" w:ascii="方正黑体_GBK" w:hAnsi="方正黑体_GBK" w:eastAsia="方正黑体_GBK"/>
          <w:color w:val="3D3D3D"/>
          <w:kern w:val="0"/>
          <w:sz w:val="15"/>
          <w:szCs w:val="15"/>
          <w:highlight w:val="none"/>
        </w:rPr>
        <w:t>/申购</w:t>
      </w:r>
      <w:r>
        <w:rPr>
          <w:rFonts w:ascii="方正黑体_GBK" w:hAnsi="方正黑体_GBK" w:eastAsia="方正黑体_GBK"/>
          <w:color w:val="3D3D3D"/>
          <w:kern w:val="0"/>
          <w:sz w:val="15"/>
          <w:szCs w:val="15"/>
          <w:highlight w:val="none"/>
        </w:rPr>
        <w:t>人：指在募集期</w:t>
      </w:r>
      <w:r>
        <w:rPr>
          <w:rFonts w:hint="eastAsia" w:ascii="方正黑体_GBK" w:hAnsi="方正黑体_GBK" w:eastAsia="方正黑体_GBK"/>
          <w:color w:val="3D3D3D"/>
          <w:kern w:val="0"/>
          <w:sz w:val="15"/>
          <w:szCs w:val="15"/>
          <w:highlight w:val="none"/>
        </w:rPr>
        <w:t>/开放期</w:t>
      </w:r>
      <w:r>
        <w:rPr>
          <w:rFonts w:ascii="方正黑体_GBK" w:hAnsi="方正黑体_GBK" w:eastAsia="方正黑体_GBK"/>
          <w:color w:val="3D3D3D"/>
          <w:kern w:val="0"/>
          <w:sz w:val="15"/>
          <w:szCs w:val="15"/>
          <w:highlight w:val="none"/>
        </w:rPr>
        <w:t>期间签署本理财产品销售文件并向理财产品管理人交付认购</w:t>
      </w:r>
      <w:r>
        <w:rPr>
          <w:rFonts w:hint="eastAsia" w:ascii="方正黑体_GBK" w:hAnsi="方正黑体_GBK" w:eastAsia="方正黑体_GBK"/>
          <w:color w:val="3D3D3D"/>
          <w:kern w:val="0"/>
          <w:sz w:val="15"/>
          <w:szCs w:val="15"/>
          <w:highlight w:val="none"/>
        </w:rPr>
        <w:t>/申购</w:t>
      </w:r>
      <w:r>
        <w:rPr>
          <w:rFonts w:ascii="方正黑体_GBK" w:hAnsi="方正黑体_GBK" w:eastAsia="方正黑体_GBK"/>
          <w:color w:val="3D3D3D"/>
          <w:kern w:val="0"/>
          <w:sz w:val="15"/>
          <w:szCs w:val="15"/>
          <w:highlight w:val="none"/>
        </w:rPr>
        <w:t>资金的投资者。</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5.理财产品份额持有人/持有人：指其认购或申购申请，经过管理人确认认购或申购成功，从而持有理财产品份额的投资者。</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6.投资者：指购买南银理财发行的相关理财产品的符合相关法律法规及监管要求的个人或机构。</w:t>
      </w:r>
    </w:p>
    <w:p>
      <w:pPr>
        <w:pStyle w:val="4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法律文件用语</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1.销售协议书：指本理财产品对应的《理财产品销售协议书》以及对该文件的有效修改或补充。</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2.产品说明书/本理财产品说明书：指本《理财产品说明书》以及对</w:t>
      </w:r>
      <w:r>
        <w:rPr>
          <w:rFonts w:hint="eastAsia" w:ascii="方正黑体_GBK" w:hAnsi="方正黑体_GBK" w:eastAsia="方正黑体_GBK"/>
          <w:color w:val="3D3D3D"/>
          <w:kern w:val="0"/>
          <w:sz w:val="15"/>
          <w:szCs w:val="15"/>
          <w:highlight w:val="none"/>
          <w:lang w:eastAsia="zh-CN"/>
        </w:rPr>
        <w:t>该文件</w:t>
      </w:r>
      <w:r>
        <w:rPr>
          <w:rFonts w:ascii="方正黑体_GBK" w:hAnsi="方正黑体_GBK" w:eastAsia="方正黑体_GBK"/>
          <w:color w:val="3D3D3D"/>
          <w:kern w:val="0"/>
          <w:sz w:val="15"/>
          <w:szCs w:val="15"/>
          <w:highlight w:val="none"/>
        </w:rPr>
        <w:t>的有效修改或补充。</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3.风险揭示书：指本理财产品对应的《理财产品风险揭示书》以及对该文件的有效修改或补充。</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4.投资者权益须知：指本理财产品对应的《投资者权益须知》以及对该文件的有效修改或补充。</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5.投资协议书</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指本理财产品对应的《理财产品投资协议书》以及对该文件的有效修改或补充。</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6.销售文件：指本理财产品对应的产品说明书、风险揭示书、投资者权益须知</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销售协议书</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投资协议书等。</w:t>
      </w:r>
      <w:r>
        <w:rPr>
          <w:rFonts w:ascii="方正黑体_GBK" w:hAnsi="方正黑体_GBK" w:eastAsia="方正黑体_GBK"/>
          <w:bCs/>
          <w:color w:val="3D3D3D"/>
          <w:kern w:val="0"/>
          <w:sz w:val="15"/>
          <w:szCs w:val="15"/>
          <w:highlight w:val="none"/>
        </w:rPr>
        <w:t>上述文件共同构成本理财产品完整且不可分割的销售文件。</w:t>
      </w:r>
    </w:p>
    <w:p>
      <w:pPr>
        <w:pStyle w:val="4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期间与日期</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1.募集期：指管理人确定的接受投资者认购本理财产品的起止期限。</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2.开放期：指管理人确定的除募集期外接受投资者申购、赎回本理财产品的起止期限。</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3.提前终止权行使日：指管理人行使提前终止权的日期，即本理财产品被提前终止、开始停止计算收益的日期。</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4.延期终止日：指管理人根据本理财产品说明书约定延长理财产品存续期后本理财产品的终止日，即本理财产品被延期终止、开始停止计算收益的日期。</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5.认购、申购、赎回确认日：指投资者认购、申购、赎回理财产品最终确认日期。</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7.产品存续期：指理财产品成立至终止的期间。</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8.名义到期日：指在管理人未对本理财产品提前终止或延期终止的情况下本理财产品的到期日期。</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10.工作日：指除国家法定节假日和休息日（包括周六、周日）外的日期。</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11.交易日：指上海证券交易所和深圳证券交易所的正常开盘交易日。</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12.支付日：指根据本理财产品说明书约定向销售文件约定的投资者授权指定账户划付理财产品资金之日。</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13.赎回或到期清算分配资金到账日：指赎回或到期清算分配资金划入销售文件约定的投资者授权指定账户之日。</w:t>
      </w:r>
    </w:p>
    <w:p>
      <w:pPr>
        <w:pStyle w:val="4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理财产品用语</w:t>
      </w:r>
    </w:p>
    <w:p>
      <w:pPr>
        <w:pStyle w:val="46"/>
        <w:keepNext w:val="0"/>
        <w:keepLines w:val="0"/>
        <w:pageBreakBefore w:val="0"/>
        <w:widowControl/>
        <w:suppressLineNumbers w:val="0"/>
        <w:tabs>
          <w:tab w:val="left" w:pos="567"/>
        </w:tabs>
        <w:suppressAutoHyphens w:val="0"/>
        <w:spacing w:line="200" w:lineRule="exact"/>
        <w:ind w:left="289" w:firstLine="0"/>
        <w:rPr>
          <w:rFonts w:ascii="方正黑体_GBK" w:hAnsi="方正黑体_GBK" w:eastAsia="方正黑体_GBK"/>
          <w:vanish w:val="0"/>
          <w:color w:val="3D3D3D"/>
          <w:kern w:val="0"/>
          <w:sz w:val="15"/>
          <w:szCs w:val="15"/>
        </w:rPr>
      </w:pPr>
      <w:r>
        <w:rPr>
          <w:rFonts w:ascii="方正黑体_GBK" w:hAnsi="方正黑体_GBK" w:eastAsia="方正黑体_GBK"/>
          <w:color w:val="3D3D3D"/>
          <w:kern w:val="0"/>
          <w:sz w:val="15"/>
          <w:szCs w:val="15"/>
          <w:highlight w:val="none"/>
        </w:rPr>
        <w:t xml:space="preserve"> 1.本理财产品/理财产品：</w:t>
      </w:r>
      <w:r>
        <w:rPr>
          <w:rFonts w:hint="eastAsia" w:ascii="方正黑体_GBK" w:hAnsi="方正黑体_GBK" w:eastAsia="方正黑体_GBK" w:cs="Times New Roman"/>
          <w:vanish w:val="0"/>
          <w:color w:val="3D3D3D"/>
          <w:kern w:val="0"/>
          <w:sz w:val="15"/>
          <w:szCs w:val="15"/>
        </w:rPr>
        <w:t xml:space="preserve"> </w:t>
      </w:r>
      <w:r>
        <w:rPr>
          <w:rFonts w:ascii="方正黑体_GBK" w:hAnsi="方正黑体_GBK" w:eastAsia="方正黑体_GBK"/>
          <w:b/>
          <w:bCs/>
          <w:caps w:val="0"/>
          <w:smallCaps w:val="0"/>
          <w:snapToGrid/>
          <w:vanish w:val="0"/>
          <w:color w:val="3D3D3D"/>
          <w:kern w:val="0"/>
          <w:sz w:val="15"/>
          <w:szCs w:val="15"/>
          <w:vertAlign w:val="baseline"/>
          <w:lang w:val="en-US" w:eastAsia="zh-CN"/>
        </w:rPr>
        <w:t>南银理财鼎瑞悦稳（最低持有7天）7号公募人民币理财产品</w:t>
      </w:r>
      <w:r>
        <w:rPr>
          <w:rFonts w:hint="eastAsia" w:ascii="方正黑体_GBK" w:hAnsi="方正黑体_GBK" w:eastAsia="方正黑体_GBK"/>
          <w:vanish w:val="0"/>
          <w:color w:val="3D3D3D"/>
          <w:kern w:val="0"/>
          <w:sz w:val="15"/>
          <w:szCs w:val="15"/>
        </w:rPr>
        <w:t>。</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3.投资收益：指投资者投资理财产品份额获得的投资收益，该收益为其获得分配的全部理财产品赎回资金或到期清算分配资金中扣除投资本金的部分。</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4.理财产品份额/产品份额：指投资者持有本理财产品的单位数额。投资者基于其所持有的理财产品单位数额享有理财产品利益、承担理财产品风险。</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pPr>
        <w:pStyle w:val="46"/>
        <w:keepNext w:val="0"/>
        <w:keepLines w:val="0"/>
        <w:pageBreakBefore w:val="0"/>
        <w:widowControl/>
        <w:suppressLineNumbers w:val="0"/>
        <w:tabs>
          <w:tab w:val="left" w:pos="567"/>
        </w:tabs>
        <w:suppressAutoHyphens w:val="0"/>
        <w:spacing w:line="200" w:lineRule="exact"/>
        <w:ind w:left="289" w:firstLine="0"/>
        <w:outlineLvl w:val="1"/>
        <w:rPr>
          <w:bCs/>
          <w:color w:val="3D3D3D"/>
          <w:kern w:val="0"/>
          <w:sz w:val="15"/>
          <w:szCs w:val="15"/>
        </w:rPr>
      </w:pPr>
      <w:r>
        <w:rPr>
          <w:rFonts w:ascii="方正黑体_GBK" w:hAnsi="方正黑体_GBK" w:eastAsia="方正黑体_GBK"/>
          <w:color w:val="3D3D3D"/>
          <w:kern w:val="0"/>
          <w:sz w:val="15"/>
          <w:szCs w:val="15"/>
          <w:highlight w:val="none"/>
        </w:rPr>
        <w:t xml:space="preserve"> 6.单位净值/产品每份额净值：指理财产品每单位份额的净值，即每1份理财产品份额以人民币计价的价格。</w:t>
      </w:r>
      <w:r>
        <w:rPr>
          <w:rFonts w:ascii="方正黑体_GBK" w:hAnsi="方正黑体_GBK" w:eastAsia="方正黑体_GBK"/>
          <w:bCs/>
          <w:color w:val="3D3D3D"/>
          <w:kern w:val="0"/>
          <w:sz w:val="15"/>
          <w:szCs w:val="15"/>
          <w:highlight w:val="none"/>
        </w:rPr>
        <w:t>产品份额净值=产品资产净值/产品总份额。投资者按该份额净值进行理财产品认购、申购和赎回、获得到期/终止时分配。</w:t>
      </w:r>
      <w:r>
        <w:rPr>
          <w:rFonts w:ascii="方正黑体_GBK" w:hAnsi="方正黑体_GBK" w:eastAsia="方正黑体_GBK"/>
          <w:bCs/>
          <w:color w:val="3D3D3D"/>
          <w:kern w:val="0"/>
          <w:sz w:val="15"/>
          <w:szCs w:val="15"/>
        </w:rPr>
        <w:t>产品份额净值按去尾法保留6位小数。</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7.理财产品估值/估值：指计算评估理财产品资产以确定理财产品份额单位净值的过程。</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8.业绩比较基准：指管理人基于</w:t>
      </w:r>
      <w:r>
        <w:rPr>
          <w:rFonts w:hint="eastAsia" w:ascii="方正黑体_GBK" w:hAnsi="方正黑体_GBK" w:eastAsia="方正黑体_GBK"/>
          <w:color w:val="3D3D3D"/>
          <w:kern w:val="0"/>
          <w:sz w:val="15"/>
          <w:szCs w:val="15"/>
          <w:highlight w:val="none"/>
          <w:lang w:val="en-US" w:eastAsia="zh-CN"/>
        </w:rPr>
        <w:t>产品性质、投资策略、</w:t>
      </w:r>
      <w:r>
        <w:rPr>
          <w:rFonts w:ascii="方正黑体_GBK" w:hAnsi="方正黑体_GBK" w:eastAsia="方正黑体_GBK"/>
          <w:color w:val="3D3D3D"/>
          <w:kern w:val="0"/>
          <w:sz w:val="15"/>
          <w:szCs w:val="15"/>
          <w:highlight w:val="none"/>
        </w:rPr>
        <w:t>过往投资经验及对产品存续期投资市场波动的预判而对本理财产品所设定的投资目标，业绩比较基准不代表本理财产品的未来表现和实际收益，</w:t>
      </w:r>
      <w:r>
        <w:rPr>
          <w:rFonts w:hint="eastAsia" w:ascii="方正黑体_GBK" w:hAnsi="方正黑体_GBK" w:eastAsia="方正黑体_GBK"/>
          <w:color w:val="3D3D3D"/>
          <w:kern w:val="0"/>
          <w:sz w:val="15"/>
          <w:szCs w:val="15"/>
          <w:highlight w:val="none"/>
          <w:lang w:val="en-US" w:eastAsia="zh-CN"/>
        </w:rPr>
        <w:t>不构成</w:t>
      </w:r>
      <w:r>
        <w:rPr>
          <w:rFonts w:ascii="方正黑体_GBK" w:hAnsi="方正黑体_GBK" w:eastAsia="方正黑体_GBK"/>
          <w:color w:val="3D3D3D"/>
          <w:kern w:val="0"/>
          <w:sz w:val="15"/>
          <w:szCs w:val="15"/>
          <w:highlight w:val="none"/>
        </w:rPr>
        <w:t>管理人对本理财产品收益</w:t>
      </w:r>
      <w:r>
        <w:rPr>
          <w:rFonts w:hint="eastAsia" w:ascii="方正黑体_GBK" w:hAnsi="方正黑体_GBK" w:eastAsia="方正黑体_GBK"/>
          <w:color w:val="3D3D3D"/>
          <w:kern w:val="0"/>
          <w:sz w:val="15"/>
          <w:szCs w:val="15"/>
          <w:highlight w:val="none"/>
          <w:lang w:val="en-US" w:eastAsia="zh-CN"/>
        </w:rPr>
        <w:t>的</w:t>
      </w:r>
      <w:r>
        <w:rPr>
          <w:rFonts w:ascii="方正黑体_GBK" w:hAnsi="方正黑体_GBK" w:eastAsia="方正黑体_GBK"/>
          <w:color w:val="3D3D3D"/>
          <w:kern w:val="0"/>
          <w:sz w:val="15"/>
          <w:szCs w:val="15"/>
          <w:highlight w:val="none"/>
        </w:rPr>
        <w:t>承诺。</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9.认购：指投资者根据产品说明书约定在募集期内申请购买本理财产品的理财产品份额的行为。</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10.申购、赎回申请：指在理财产品的开放期内，投资者向理财产品管理人提出申请对理财产品份额进行购买或卖出的行为。</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11.提前终止/延期终止权：指在本理财产品存续期内，管理人单方面根据本理财产品销售文件的约定提前终止/延期终止本理财产品的权利。</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12.授权指定账户：指投资者用于支付理财产品的认购或申购资金，并用于接收理财产品分红或赎回或到期清算分配款项的银行账户。</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13.固定收益类理财产品：指投资于存款、债券等债权类资产的比例不低于80%的理财产品。</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14.权益类理财产品：指投资于权益类资产的比例不低于80%的理财产品。</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15.商品及金融衍生品类理财产品：指投资于商品及金融衍生品的比例不低于80%的理财产品。</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16.混合类理财产品：指投资于债权类资产、权益类资产、商品及金融衍生品类资产且任一资产的投资比例</w:t>
      </w:r>
      <w:r>
        <w:rPr>
          <w:rFonts w:hint="eastAsia" w:ascii="方正黑体_GBK" w:hAnsi="方正黑体_GBK" w:eastAsia="方正黑体_GBK"/>
          <w:color w:val="3D3D3D"/>
          <w:kern w:val="0"/>
          <w:sz w:val="15"/>
          <w:szCs w:val="15"/>
        </w:rPr>
        <w:t>均</w:t>
      </w:r>
      <w:r>
        <w:rPr>
          <w:rFonts w:ascii="方正黑体_GBK" w:hAnsi="方正黑体_GBK" w:eastAsia="方正黑体_GBK"/>
          <w:color w:val="3D3D3D"/>
          <w:kern w:val="0"/>
          <w:sz w:val="15"/>
          <w:szCs w:val="15"/>
        </w:rPr>
        <w:t>未达到80%的理财产品。</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17.公募理财产品：指面向不特定社会公众公开发行的理财产品。</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18.私募理财产品：指面向合格投资者非公开发行的理财产品。</w:t>
      </w:r>
    </w:p>
    <w:p>
      <w:pPr>
        <w:pStyle w:val="4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其他</w:t>
      </w:r>
    </w:p>
    <w:p>
      <w:pPr>
        <w:pStyle w:val="46"/>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1.不可抗力：指理财产品各方不能预见、不能避免且不能克服的客观情况，该事件妨碍、影响或延误任何一方依相关理财产品销售文件的约定履行其全部或部分义务。该事件包括但不限于：</w:t>
      </w:r>
    </w:p>
    <w:p>
      <w:pPr>
        <w:pStyle w:val="59"/>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自然灾害、地震、台风、海啸、洪水、火灾、停电、突发性公共卫生事件；</w:t>
      </w:r>
    </w:p>
    <w:p>
      <w:pPr>
        <w:pStyle w:val="59"/>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罢工、内战、战争、军事行动、任何种类的恐怖活动、暴动、公众示威或抗议；</w:t>
      </w:r>
    </w:p>
    <w:p>
      <w:pPr>
        <w:pStyle w:val="59"/>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新的适用法律或国家政策的颁布或实施、对原适用法律或国家政策的修改；</w:t>
      </w:r>
    </w:p>
    <w:p>
      <w:pPr>
        <w:pStyle w:val="59"/>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任何政府机关或其他机关的行为</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不论是在法律上或是在事实上</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、法律、法规、条例、规则、规定、裁决、命令或指令（包括国有化或对外限制、外汇管制）、诉讼或威胁；</w:t>
      </w:r>
    </w:p>
    <w:p>
      <w:pPr>
        <w:pStyle w:val="59"/>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中国</w:t>
      </w:r>
      <w:r>
        <w:rPr>
          <w:rFonts w:hint="eastAsia" w:ascii="方正黑体_GBK" w:hAnsi="方正黑体_GBK" w:eastAsia="方正黑体_GBK"/>
          <w:color w:val="3D3D3D"/>
          <w:kern w:val="0"/>
          <w:sz w:val="15"/>
          <w:szCs w:val="15"/>
          <w:highlight w:val="none"/>
        </w:rPr>
        <w:t>境内</w:t>
      </w:r>
      <w:r>
        <w:rPr>
          <w:rFonts w:ascii="方正黑体_GBK" w:hAnsi="方正黑体_GBK" w:eastAsia="方正黑体_GBK"/>
          <w:color w:val="3D3D3D"/>
          <w:kern w:val="0"/>
          <w:sz w:val="15"/>
          <w:szCs w:val="15"/>
          <w:highlight w:val="none"/>
        </w:rPr>
        <w:t>或全球金融外汇市场发生致使甲方无法进行货币兑换、划转等的异常变化；</w:t>
      </w:r>
    </w:p>
    <w:p>
      <w:pPr>
        <w:pStyle w:val="59"/>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因理财产品各方和/或其关联方运营网络系统遭受黑客攻击、电信部门技术调整或故障等原因而造成的理财产品各方和/或其关联方之服务、营业的中断或者延迟。</w:t>
      </w:r>
    </w:p>
    <w:p>
      <w:pPr>
        <w:pStyle w:val="46"/>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2.中国：指中华人民共和国（为本理财产品销售文件之目的，不包括香港特别行政区、澳门特别行政区和台湾地区）。</w:t>
      </w:r>
    </w:p>
    <w:p>
      <w:pPr>
        <w:pStyle w:val="46"/>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3.元：指人民币元。</w:t>
      </w:r>
    </w:p>
    <w:p>
      <w:pPr>
        <w:pStyle w:val="46"/>
        <w:keepNext w:val="0"/>
        <w:keepLines w:val="0"/>
        <w:pageBreakBefore w:val="0"/>
        <w:widowControl/>
        <w:suppressLineNumbers w:val="0"/>
        <w:tabs>
          <w:tab w:val="left" w:pos="567"/>
        </w:tabs>
        <w:suppressAutoHyphens w:val="0"/>
        <w:spacing w:line="200" w:lineRule="exact"/>
        <w:ind w:left="289" w:firstLine="0"/>
        <w:rPr>
          <w:rFonts w:hint="eastAsia" w:ascii="方正黑体_GBK" w:hAnsi="方正黑体_GBK" w:eastAsia="方正黑体_GBK"/>
          <w:color w:val="3D3D3D"/>
          <w:kern w:val="0"/>
          <w:sz w:val="15"/>
          <w:szCs w:val="15"/>
          <w:lang w:val="en-US" w:eastAsia="zh-CN"/>
        </w:rPr>
      </w:pPr>
      <w:r>
        <w:rPr>
          <w:rFonts w:ascii="方正黑体_GBK" w:hAnsi="方正黑体_GBK" w:eastAsia="方正黑体_GBK"/>
          <w:color w:val="3D3D3D"/>
          <w:kern w:val="0"/>
          <w:sz w:val="15"/>
          <w:szCs w:val="15"/>
          <w:highlight w:val="none"/>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hint="eastAsia"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第三条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情景示例</w:t>
      </w:r>
    </w:p>
    <w:p>
      <w:pPr>
        <w:spacing w:line="200" w:lineRule="exact"/>
        <w:ind w:firstLine="300"/>
      </w:pPr>
      <w:r>
        <w:rPr>
          <w:rFonts w:ascii="方正黑体_GBK" w:hAnsi="方正黑体_GBK" w:eastAsia="方正黑体_GBK" w:cs="宋体"/>
          <w:sz w:val="15"/>
          <w:szCs w:val="20"/>
        </w:rPr>
        <w:t>假设：投资者认购本理财产品10万元，确认认购的产品净值为1.000000元，折算份额100,000份。</w:t>
      </w:r>
    </w:p>
    <w:p>
      <w:pPr>
        <w:spacing w:line="200" w:lineRule="exact"/>
        <w:ind w:firstLine="300"/>
      </w:pPr>
      <w:r>
        <w:rPr>
          <w:rFonts w:ascii="方正黑体_GBK" w:hAnsi="方正黑体_GBK" w:eastAsia="方正黑体_GBK" w:cs="宋体"/>
          <w:sz w:val="15"/>
          <w:szCs w:val="20"/>
        </w:rPr>
        <w:t>情景示例一：持有期满后某个赎回日投资者申请赎回 50,000 份，赎回确认日产品单位净值折算每份额净值1.030000，则客户在资金到帐日收到赎回资金为51,500元。</w:t>
      </w:r>
    </w:p>
    <w:p>
      <w:pPr>
        <w:spacing w:line="200" w:lineRule="exact"/>
        <w:ind w:firstLine="300"/>
      </w:pPr>
      <w:r>
        <w:rPr>
          <w:rFonts w:ascii="方正黑体_GBK" w:hAnsi="方正黑体_GBK" w:eastAsia="方正黑体_GBK" w:cs="宋体"/>
          <w:sz w:val="15"/>
          <w:szCs w:val="20"/>
        </w:rPr>
        <w:t>情景示例二：持有期满后某个赎回日投资者申请赎回 20,000 份，赎回确认日产品单位净值折算每份额净值为0.970000，则客户在资金到帐日收到赎回资金为19,400元。</w:t>
      </w:r>
    </w:p>
    <w:p>
      <w:pPr>
        <w:spacing w:line="200" w:lineRule="exact"/>
      </w:pPr>
      <w:r>
        <w:rPr>
          <w:rFonts w:ascii="方正黑体_GBK" w:hAnsi="方正黑体_GBK" w:eastAsia="方正黑体_GBK" w:cs="宋体"/>
          <w:sz w:val="15"/>
          <w:szCs w:val="20"/>
        </w:rPr>
        <w:t xml:space="preserve"> 以上数据为假设情形中的模拟数据，不代表实际收益，投资须谨慎。</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vanish w:val="0"/>
          <w:sz w:val="15"/>
          <w:szCs w:val="15"/>
        </w:rPr>
      </w:pPr>
      <w:r>
        <w:rPr>
          <w:rFonts w:hint="eastAsia" w:ascii="方正黑体_GBK" w:hAnsi="方正黑体_GBK" w:eastAsia="方正黑体_GBK"/>
          <w:b/>
          <w:bCs/>
          <w:vanish w:val="0"/>
          <w:color w:val="auto"/>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pPr>
        <w:pStyle w:val="31"/>
        <w:keepNext w:val="0"/>
        <w:keepLines w:val="0"/>
        <w:pageBreakBefore w:val="0"/>
        <w:widowControl/>
        <w:suppressLineNumbers w:val="0"/>
        <w:suppressAutoHyphens w:val="0"/>
        <w:spacing w:line="200" w:lineRule="exact"/>
        <w:ind w:firstLine="300" w:firstLineChars="200"/>
        <w:rPr>
          <w:rFonts w:hint="eastAsia" w:ascii="方正黑体_GBK" w:hAnsi="方正黑体_GBK" w:eastAsia="方正黑体_GBK"/>
          <w:sz w:val="20"/>
          <w:szCs w:val="20"/>
          <w:lang w:val="en-US" w:eastAsia="zh-CN"/>
        </w:rPr>
      </w:pPr>
      <w:r>
        <w:rPr>
          <w:rFonts w:hint="eastAsia" w:ascii="方正黑体_GBK" w:hAnsi="方正黑体_GBK" w:eastAsia="方正黑体_GBK"/>
          <w:b/>
          <w:bCs/>
          <w:vanish w:val="0"/>
          <w:kern w:val="0"/>
          <w:sz w:val="15"/>
          <w:szCs w:val="15"/>
        </w:rPr>
        <w:t>风险提示：如出现本理财产品所投资的资产或资产组合项下义务人出现无法兑付本金等极端情况，产品运作到期后投资者可能无收益，并可能损失全部本金。</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ascii="方正黑体_GBK" w:hAnsi="方正黑体_GBK" w:eastAsia="方正黑体_GBK"/>
          <w:b/>
          <w:bCs w:val="0"/>
          <w:vanish w:val="0"/>
          <w:color w:val="auto"/>
          <w:kern w:val="0"/>
          <w:sz w:val="15"/>
          <w:szCs w:val="15"/>
        </w:rPr>
      </w:pPr>
      <w:r>
        <w:rPr>
          <w:rFonts w:hint="eastAsia" w:ascii="方正黑体_GBK" w:hAnsi="方正黑体_GBK" w:eastAsia="方正黑体_GBK"/>
          <w:b/>
          <w:bCs/>
          <w:vanish w:val="0"/>
          <w:color w:val="auto"/>
          <w:kern w:val="0"/>
          <w:sz w:val="15"/>
          <w:szCs w:val="15"/>
        </w:rPr>
        <w:t>第四</w:t>
      </w:r>
      <w:r>
        <w:rPr>
          <w:rFonts w:hint="eastAsia" w:ascii="方正黑体_GBK" w:hAnsi="方正黑体_GBK" w:eastAsia="方正黑体_GBK"/>
          <w:b/>
          <w:bCs w:val="0"/>
          <w:vanish w:val="0"/>
          <w:color w:val="auto"/>
          <w:kern w:val="0"/>
          <w:sz w:val="15"/>
          <w:szCs w:val="15"/>
        </w:rPr>
        <w:t>条</w:t>
      </w:r>
      <w:r>
        <w:rPr>
          <w:rFonts w:hint="eastAsia" w:ascii="方正黑体_GBK" w:hAnsi="方正黑体_GBK" w:eastAsia="方正黑体_GBK" w:cs="Times New Roman"/>
          <w:b/>
          <w:bCs w:val="0"/>
          <w:vanish w:val="0"/>
          <w:color w:val="auto"/>
          <w:kern w:val="0"/>
          <w:sz w:val="15"/>
          <w:szCs w:val="15"/>
        </w:rPr>
        <w:t xml:space="preserve">  </w:t>
      </w:r>
      <w:r>
        <w:rPr>
          <w:rFonts w:hint="eastAsia" w:ascii="方正黑体_GBK" w:hAnsi="方正黑体_GBK" w:eastAsia="方正黑体_GBK"/>
          <w:b/>
          <w:bCs w:val="0"/>
          <w:vanish w:val="0"/>
          <w:color w:val="auto"/>
          <w:kern w:val="0"/>
          <w:sz w:val="15"/>
          <w:szCs w:val="15"/>
        </w:rPr>
        <w:t>理财产品估值</w:t>
      </w:r>
    </w:p>
    <w:p>
      <w:pPr>
        <w:spacing w:line="200" w:lineRule="exact"/>
        <w:ind w:firstLine="300"/>
        <w:jc w:val="both"/>
      </w:pPr>
      <w:r>
        <w:rPr>
          <w:rFonts w:ascii="方正黑体_GBK" w:hAnsi="方正黑体_GBK" w:eastAsia="方正黑体_GBK" w:cs="宋体"/>
          <w:sz w:val="15"/>
          <w:szCs w:val="20"/>
        </w:rPr>
        <w:t>（一）估值日</w:t>
      </w:r>
    </w:p>
    <w:p>
      <w:pPr>
        <w:spacing w:line="200" w:lineRule="exact"/>
        <w:ind w:firstLine="300"/>
        <w:jc w:val="both"/>
      </w:pPr>
      <w:r>
        <w:rPr>
          <w:rFonts w:ascii="方正黑体_GBK" w:hAnsi="方正黑体_GBK" w:eastAsia="方正黑体_GBK" w:cs="宋体"/>
          <w:sz w:val="15"/>
          <w:szCs w:val="20"/>
        </w:rPr>
        <w:t>本理财产品每个工作日进行估值。</w:t>
      </w:r>
    </w:p>
    <w:p>
      <w:pPr>
        <w:spacing w:line="200" w:lineRule="exact"/>
        <w:ind w:firstLine="300"/>
        <w:jc w:val="both"/>
      </w:pPr>
      <w:r>
        <w:rPr>
          <w:rFonts w:ascii="方正黑体_GBK" w:hAnsi="方正黑体_GBK" w:eastAsia="方正黑体_GBK" w:cs="宋体"/>
          <w:sz w:val="15"/>
          <w:szCs w:val="20"/>
        </w:rPr>
        <w:t>（二）估值对象</w:t>
      </w:r>
    </w:p>
    <w:p>
      <w:pPr>
        <w:spacing w:line="200" w:lineRule="exact"/>
        <w:ind w:firstLine="300"/>
        <w:jc w:val="both"/>
      </w:pPr>
      <w:r>
        <w:rPr>
          <w:rFonts w:ascii="方正黑体_GBK" w:hAnsi="方正黑体_GBK" w:eastAsia="方正黑体_GBK" w:cs="宋体"/>
          <w:sz w:val="15"/>
          <w:szCs w:val="20"/>
        </w:rPr>
        <w:t>本理财产品所拥有的所有资产及负债。</w:t>
      </w:r>
    </w:p>
    <w:p>
      <w:pPr>
        <w:spacing w:line="200" w:lineRule="exact"/>
        <w:ind w:firstLine="300"/>
        <w:jc w:val="both"/>
      </w:pPr>
      <w:r>
        <w:rPr>
          <w:rFonts w:ascii="方正黑体_GBK" w:hAnsi="方正黑体_GBK" w:eastAsia="方正黑体_GBK" w:cs="宋体"/>
          <w:sz w:val="15"/>
          <w:szCs w:val="20"/>
        </w:rPr>
        <w:t>（三）估值目的</w:t>
      </w:r>
    </w:p>
    <w:p>
      <w:pPr>
        <w:spacing w:line="200" w:lineRule="exact"/>
        <w:ind w:firstLine="300"/>
        <w:jc w:val="both"/>
      </w:pPr>
      <w:r>
        <w:rPr>
          <w:rFonts w:ascii="方正黑体_GBK" w:hAnsi="方正黑体_GBK" w:eastAsia="方正黑体_GBK" w:cs="宋体"/>
          <w:sz w:val="15"/>
          <w:szCs w:val="20"/>
        </w:rPr>
        <w:t>客观、准确反映理财产品的价值。</w:t>
      </w:r>
    </w:p>
    <w:p>
      <w:pPr>
        <w:spacing w:line="200" w:lineRule="exact"/>
        <w:ind w:firstLine="300"/>
        <w:jc w:val="both"/>
      </w:pPr>
      <w:r>
        <w:rPr>
          <w:rFonts w:ascii="方正黑体_GBK" w:hAnsi="方正黑体_GBK" w:eastAsia="方正黑体_GBK" w:cs="宋体"/>
          <w:sz w:val="15"/>
          <w:szCs w:val="20"/>
        </w:rPr>
        <w:t>（四）估值原则</w:t>
      </w:r>
    </w:p>
    <w:p>
      <w:pPr>
        <w:spacing w:line="200" w:lineRule="exact"/>
        <w:ind w:firstLine="300"/>
        <w:jc w:val="both"/>
      </w:pPr>
      <w:r>
        <w:rPr>
          <w:rFonts w:ascii="方正黑体_GBK" w:hAnsi="方正黑体_GBK" w:eastAsia="方正黑体_GBK" w:cs="宋体"/>
          <w:sz w:val="15"/>
          <w:szCs w:val="20"/>
        </w:rPr>
        <w:t>理财产品应坚持公允价值计量原则，符合会计准则和监管规定的范围内的可选择摊余成本法计量。</w:t>
      </w:r>
    </w:p>
    <w:p>
      <w:pPr>
        <w:spacing w:line="200" w:lineRule="exact"/>
        <w:ind w:firstLine="300"/>
        <w:jc w:val="both"/>
      </w:pPr>
      <w:r>
        <w:rPr>
          <w:rFonts w:ascii="方正黑体_GBK" w:hAnsi="方正黑体_GBK" w:eastAsia="方正黑体_GBK" w:cs="宋体"/>
          <w:sz w:val="15"/>
          <w:szCs w:val="20"/>
        </w:rPr>
        <w:t>（五）估值方法</w:t>
      </w:r>
    </w:p>
    <w:p>
      <w:pPr>
        <w:spacing w:line="200" w:lineRule="exact"/>
        <w:ind w:firstLine="280"/>
        <w:jc w:val="left"/>
      </w:pPr>
      <w:r>
        <w:rPr>
          <w:rFonts w:ascii="方正黑体_GBK" w:hAnsi="方正黑体_GBK" w:eastAsia="方正黑体_GBK" w:cs="宋体"/>
          <w:sz w:val="15"/>
          <w:szCs w:val="20"/>
        </w:rPr>
        <w:t>估值方法中列示的资产品种不代表管理人的实际投向，本理财产品拟投资范围以“投资范围”章节描述为准。</w:t>
      </w:r>
    </w:p>
    <w:p>
      <w:pPr>
        <w:spacing w:line="200" w:lineRule="exact"/>
        <w:ind w:firstLine="280"/>
        <w:jc w:val="left"/>
      </w:pPr>
      <w:r>
        <w:rPr>
          <w:rFonts w:ascii="方正黑体_GBK" w:hAnsi="方正黑体_GBK" w:eastAsia="方正黑体_GBK" w:cs="宋体"/>
          <w:sz w:val="15"/>
          <w:szCs w:val="20"/>
        </w:rPr>
        <w:t>1.银行存款、回购等货币市场工具</w:t>
      </w:r>
    </w:p>
    <w:p>
      <w:pPr>
        <w:spacing w:line="200" w:lineRule="exact"/>
        <w:ind w:firstLine="280"/>
        <w:jc w:val="left"/>
      </w:pPr>
      <w:r>
        <w:rPr>
          <w:rFonts w:ascii="方正黑体_GBK" w:hAnsi="方正黑体_GBK" w:eastAsia="方正黑体_GBK" w:cs="宋体"/>
          <w:sz w:val="15"/>
          <w:szCs w:val="20"/>
        </w:rPr>
        <w:t>以本金列示，按商定的利率在实际持有期间内逐日计提。</w:t>
      </w:r>
    </w:p>
    <w:p>
      <w:pPr>
        <w:spacing w:line="200" w:lineRule="exact"/>
        <w:ind w:firstLine="280"/>
        <w:jc w:val="left"/>
      </w:pPr>
      <w:r>
        <w:rPr>
          <w:rFonts w:ascii="方正黑体_GBK" w:hAnsi="方正黑体_GBK" w:eastAsia="方正黑体_GBK" w:cs="宋体"/>
          <w:color w:val="3D3D3D"/>
          <w:sz w:val="15"/>
          <w:szCs w:val="20"/>
        </w:rPr>
        <w:t>2.债券类资产</w:t>
      </w:r>
    </w:p>
    <w:p>
      <w:pPr>
        <w:spacing w:line="200" w:lineRule="exact"/>
        <w:ind w:firstLine="280"/>
        <w:jc w:val="left"/>
      </w:pPr>
      <w:r>
        <w:rPr>
          <w:rFonts w:ascii="方正黑体_GBK" w:hAnsi="方正黑体_GBK" w:eastAsia="方正黑体_GBK"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的估值技术对其进行估值。对于符合企业会计准则及监管规定范围内的，分类为“以摊余成本计量的金融资产”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pPr>
        <w:spacing w:line="200" w:lineRule="exact"/>
        <w:ind w:firstLine="280"/>
        <w:jc w:val="left"/>
      </w:pPr>
      <w:r>
        <w:rPr>
          <w:rFonts w:ascii="方正黑体_GBK" w:hAnsi="方正黑体_GBK" w:eastAsia="方正黑体_GBK" w:cs="宋体"/>
          <w:color w:val="3D3D3D"/>
          <w:sz w:val="15"/>
          <w:szCs w:val="20"/>
        </w:rPr>
        <w:t>3.非标准化债权类资产</w:t>
      </w:r>
    </w:p>
    <w:p>
      <w:pPr>
        <w:spacing w:line="200" w:lineRule="exact"/>
        <w:ind w:firstLine="280"/>
        <w:jc w:val="left"/>
      </w:pPr>
      <w:r>
        <w:rPr>
          <w:rFonts w:ascii="方正黑体_GBK" w:hAnsi="方正黑体_GBK" w:eastAsia="方正黑体_GBK" w:cs="宋体"/>
          <w:color w:val="3D3D3D"/>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以摊余成本计量的金融资产”的资产按摊余成本法估值，并按照会计准则采用合理减值计量模型或第三方减值计量结果进行预期信用损失的减值计提。</w:t>
      </w:r>
    </w:p>
    <w:p>
      <w:pPr>
        <w:spacing w:line="200" w:lineRule="exact"/>
        <w:ind w:firstLine="280"/>
        <w:jc w:val="left"/>
      </w:pPr>
      <w:r>
        <w:rPr>
          <w:rFonts w:ascii="方正黑体_GBK" w:hAnsi="方正黑体_GBK" w:eastAsia="方正黑体_GBK" w:cs="宋体"/>
          <w:color w:val="3D3D3D"/>
          <w:sz w:val="15"/>
          <w:szCs w:val="20"/>
        </w:rPr>
        <w:t>4.证券投资基金</w:t>
      </w:r>
    </w:p>
    <w:p>
      <w:pPr>
        <w:spacing w:line="200" w:lineRule="exact"/>
        <w:ind w:firstLine="280"/>
        <w:jc w:val="left"/>
      </w:pPr>
      <w:r>
        <w:rPr>
          <w:rFonts w:ascii="方正黑体_GBK" w:hAnsi="方正黑体_GBK" w:eastAsia="方正黑体_GBK" w:cs="宋体"/>
          <w:color w:val="3D3D3D"/>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pPr>
        <w:spacing w:line="200" w:lineRule="exact"/>
        <w:ind w:firstLine="280"/>
        <w:jc w:val="left"/>
      </w:pPr>
      <w:r>
        <w:rPr>
          <w:rFonts w:ascii="方正黑体_GBK" w:hAnsi="方正黑体_GBK" w:eastAsia="方正黑体_GBK" w:cs="宋体"/>
          <w:color w:val="3D3D3D"/>
          <w:sz w:val="15"/>
          <w:szCs w:val="20"/>
        </w:rPr>
        <w:t>5.股权类资产</w:t>
      </w:r>
    </w:p>
    <w:p>
      <w:pPr>
        <w:spacing w:line="200" w:lineRule="exact"/>
        <w:ind w:firstLine="280"/>
        <w:jc w:val="left"/>
      </w:pPr>
      <w:r>
        <w:rPr>
          <w:rFonts w:ascii="方正黑体_GBK" w:hAnsi="方正黑体_GBK" w:eastAsia="方正黑体_GBK" w:cs="宋体"/>
          <w:color w:val="3D3D3D"/>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pPr>
        <w:spacing w:line="200" w:lineRule="exact"/>
        <w:ind w:firstLine="280"/>
        <w:jc w:val="left"/>
      </w:pPr>
      <w:r>
        <w:rPr>
          <w:rFonts w:ascii="方正黑体_GBK" w:hAnsi="方正黑体_GBK" w:eastAsia="方正黑体_GBK" w:cs="宋体"/>
          <w:color w:val="3D3D3D"/>
          <w:sz w:val="15"/>
          <w:szCs w:val="20"/>
        </w:rPr>
        <w:t>6.资管计划、信托计划等资产</w:t>
      </w:r>
    </w:p>
    <w:p>
      <w:pPr>
        <w:spacing w:line="200" w:lineRule="exact"/>
        <w:ind w:firstLine="280"/>
        <w:jc w:val="left"/>
      </w:pPr>
      <w:r>
        <w:rPr>
          <w:rFonts w:ascii="方正黑体_GBK" w:hAnsi="方正黑体_GBK" w:eastAsia="方正黑体_GBK" w:cs="宋体"/>
          <w:color w:val="3D3D3D"/>
          <w:sz w:val="15"/>
          <w:szCs w:val="20"/>
        </w:rPr>
        <w:t>存在公允价值的，按照公允价值估值，或采用估值技术确定估值，也可采用被委托机构提供的估值或计量报告。</w:t>
      </w:r>
    </w:p>
    <w:p>
      <w:pPr>
        <w:spacing w:line="200" w:lineRule="exact"/>
        <w:ind w:firstLine="280"/>
        <w:jc w:val="left"/>
      </w:pPr>
      <w:r>
        <w:rPr>
          <w:rFonts w:ascii="方正黑体_GBK" w:hAnsi="方正黑体_GBK" w:eastAsia="方正黑体_GBK" w:cs="宋体"/>
          <w:color w:val="3D3D3D"/>
          <w:sz w:val="15"/>
          <w:szCs w:val="20"/>
        </w:rPr>
        <w:t>7.其他资产</w:t>
      </w:r>
    </w:p>
    <w:p>
      <w:pPr>
        <w:spacing w:line="200" w:lineRule="exact"/>
        <w:ind w:firstLine="280"/>
        <w:jc w:val="left"/>
      </w:pPr>
      <w:r>
        <w:rPr>
          <w:rFonts w:ascii="方正黑体_GBK" w:hAnsi="方正黑体_GBK" w:eastAsia="方正黑体_GBK" w:cs="宋体"/>
          <w:color w:val="3D3D3D"/>
          <w:sz w:val="15"/>
          <w:szCs w:val="20"/>
        </w:rPr>
        <w:t>存在公允价值的，按照公允价值估值，或采用估值技术确定估值，也可采用被委托机构提供的估值或计量报告。具体可参考《企业会计准则》以及相关监管政策的规定。</w:t>
      </w:r>
    </w:p>
    <w:p>
      <w:pPr>
        <w:spacing w:line="200" w:lineRule="exact"/>
        <w:ind w:firstLine="280"/>
        <w:jc w:val="left"/>
      </w:pPr>
      <w:r>
        <w:rPr>
          <w:rFonts w:ascii="方正黑体_GBK" w:hAnsi="方正黑体_GBK" w:eastAsia="方正黑体_GBK" w:cs="宋体"/>
          <w:color w:val="3D3D3D"/>
          <w:sz w:val="15"/>
          <w:szCs w:val="20"/>
        </w:rPr>
        <w:t>8.如果管理人或托管人认为按以上规定的方法对产品资产进行估值不能客观反映其公允价值的，可提出异议，管理人和托管人协商一致后，变更公允价值的确定方式，并从经管理人与托管人协商一致日起执行。</w:t>
      </w:r>
    </w:p>
    <w:p>
      <w:pPr>
        <w:spacing w:line="200" w:lineRule="exact"/>
        <w:ind w:firstLine="280"/>
        <w:jc w:val="left"/>
      </w:pPr>
      <w:r>
        <w:rPr>
          <w:rFonts w:ascii="方正黑体_GBK" w:hAnsi="方正黑体_GBK" w:eastAsia="方正黑体_GBK" w:cs="宋体"/>
          <w:color w:val="3D3D3D"/>
          <w:sz w:val="15"/>
          <w:szCs w:val="20"/>
        </w:rPr>
        <w:t>9.如有新增事项或变更事项，按国家最新规定或管理人最新的约定估值。</w:t>
      </w:r>
    </w:p>
    <w:p>
      <w:pPr>
        <w:spacing w:line="200" w:lineRule="exact"/>
        <w:ind w:firstLine="280"/>
        <w:jc w:val="left"/>
      </w:pPr>
      <w:r>
        <w:rPr>
          <w:rFonts w:ascii="方正黑体_GBK" w:hAnsi="方正黑体_GBK" w:eastAsia="方正黑体_GBK" w:cs="宋体"/>
          <w:sz w:val="15"/>
          <w:szCs w:val="20"/>
        </w:rPr>
        <w:t>开放式理财产品在前一估值日内，产品资产净值50%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3个交易日内告知投资者，并说明运用相关措施的原因、拟采取的应对安排等，投资者需重新进行资金安排。</w:t>
      </w:r>
    </w:p>
    <w:p>
      <w:pPr>
        <w:spacing w:line="200" w:lineRule="exact"/>
        <w:ind w:firstLine="300"/>
        <w:jc w:val="both"/>
      </w:pPr>
      <w:r>
        <w:rPr>
          <w:rFonts w:ascii="方正黑体_GBK" w:hAnsi="方正黑体_GBK" w:eastAsia="方正黑体_GBK" w:cs="宋体"/>
          <w:sz w:val="15"/>
          <w:szCs w:val="20"/>
        </w:rPr>
        <w:t>（六）估值错误及暂停估值</w:t>
      </w:r>
    </w:p>
    <w:p>
      <w:pPr>
        <w:spacing w:line="200" w:lineRule="exact"/>
        <w:ind w:firstLine="300"/>
        <w:jc w:val="both"/>
      </w:pPr>
      <w:r>
        <w:rPr>
          <w:rFonts w:ascii="方正黑体_GBK" w:hAnsi="方正黑体_GBK" w:eastAsia="方正黑体_GBK"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五</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信息披露</w:t>
      </w:r>
    </w:p>
    <w:p>
      <w:pPr>
        <w:pStyle w:val="31"/>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信息披露渠道</w:t>
      </w:r>
    </w:p>
    <w:p>
      <w:pPr>
        <w:spacing w:line="200" w:lineRule="exact"/>
      </w:pPr>
      <w:r>
        <w:rPr>
          <w:rFonts w:ascii="方正黑体_GBK" w:hAnsi="方正黑体_GBK" w:eastAsia="方正黑体_GBK"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pPr>
        <w:pStyle w:val="31"/>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信息披露的内容及时间</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ascii="方正黑体_GBK" w:hAnsi="方正黑体_GBK" w:eastAsia="方正黑体_GBK"/>
          <w:vanish w:val="0"/>
          <w:color w:val="3D3D3D"/>
          <w:kern w:val="0"/>
          <w:sz w:val="15"/>
          <w:szCs w:val="15"/>
        </w:rPr>
        <w:t xml:space="preserve"> </w:t>
      </w:r>
      <w:r>
        <w:rPr>
          <w:rFonts w:hint="eastAsia" w:ascii="方正黑体_GBK" w:hAnsi="方正黑体_GBK" w:eastAsia="方正黑体_GBK"/>
          <w:vanish w:val="0"/>
          <w:color w:val="3D3D3D"/>
          <w:kern w:val="0"/>
          <w:sz w:val="15"/>
          <w:szCs w:val="15"/>
        </w:rPr>
        <w:t>净值信息</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管理人在本理财产品存续期间至少</w:t>
      </w:r>
      <w:r>
        <w:rPr>
          <w:rFonts w:hint="eastAsia" w:ascii="方正黑体_GBK" w:hAnsi="方正黑体_GBK" w:eastAsia="方正黑体_GBK"/>
          <w:vanish w:val="0"/>
          <w:color w:val="3D3D3D"/>
          <w:kern w:val="0"/>
          <w:sz w:val="15"/>
          <w:szCs w:val="15"/>
        </w:rPr>
        <w:t>按日</w:t>
      </w:r>
      <w:r>
        <w:rPr>
          <w:rFonts w:hint="eastAsia" w:ascii="方正黑体_GBK" w:hAnsi="方正黑体_GBK" w:eastAsia="方正黑体_GBK" w:cs="Times New Roman"/>
          <w:vanish w:val="0"/>
          <w:color w:val="3D3D3D"/>
          <w:kern w:val="0"/>
          <w:sz w:val="15"/>
          <w:szCs w:val="15"/>
        </w:rPr>
        <w:t>向投资者披露净值</w:t>
      </w:r>
      <w:r>
        <w:rPr>
          <w:rFonts w:hint="eastAsia" w:ascii="方正黑体_GBK" w:hAnsi="方正黑体_GBK" w:eastAsia="方正黑体_GBK"/>
          <w:vanish w:val="0"/>
          <w:color w:val="3D3D3D"/>
          <w:kern w:val="0"/>
          <w:sz w:val="15"/>
          <w:szCs w:val="15"/>
        </w:rPr>
        <w:t>。</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产品发行公告</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管理人将在本理财产品成立后</w:t>
      </w:r>
      <w:r>
        <w:rPr>
          <w:rFonts w:ascii="方正黑体_GBK" w:hAnsi="方正黑体_GBK" w:eastAsia="方正黑体_GBK"/>
          <w:vanish w:val="0"/>
          <w:color w:val="3D3D3D"/>
          <w:kern w:val="0"/>
          <w:sz w:val="15"/>
          <w:szCs w:val="15"/>
        </w:rPr>
        <w:t>5</w:t>
      </w:r>
      <w:r>
        <w:rPr>
          <w:rFonts w:hint="eastAsia" w:ascii="方正黑体_GBK" w:hAnsi="方正黑体_GBK" w:eastAsia="方正黑体_GBK"/>
          <w:vanish w:val="0"/>
          <w:color w:val="3D3D3D"/>
          <w:kern w:val="0"/>
          <w:sz w:val="15"/>
          <w:szCs w:val="15"/>
        </w:rPr>
        <w:t>个工作日内披露产品发行公告。</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定期报告</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管理人将在每个季度结束之日起</w:t>
      </w:r>
      <w:r>
        <w:rPr>
          <w:rFonts w:ascii="方正黑体_GBK" w:hAnsi="方正黑体_GBK" w:eastAsia="方正黑体_GBK"/>
          <w:vanish w:val="0"/>
          <w:color w:val="3D3D3D"/>
          <w:kern w:val="0"/>
          <w:sz w:val="15"/>
          <w:szCs w:val="15"/>
        </w:rPr>
        <w:t>15</w:t>
      </w:r>
      <w:r>
        <w:rPr>
          <w:rFonts w:hint="eastAsia" w:ascii="方正黑体_GBK" w:hAnsi="方正黑体_GBK" w:eastAsia="方正黑体_GBK"/>
          <w:vanish w:val="0"/>
          <w:color w:val="3D3D3D"/>
          <w:kern w:val="0"/>
          <w:sz w:val="15"/>
          <w:szCs w:val="15"/>
        </w:rPr>
        <w:t>个工作日内、上半年结束之日起</w:t>
      </w:r>
      <w:r>
        <w:rPr>
          <w:rFonts w:ascii="方正黑体_GBK" w:hAnsi="方正黑体_GBK" w:eastAsia="方正黑体_GBK"/>
          <w:vanish w:val="0"/>
          <w:color w:val="3D3D3D"/>
          <w:kern w:val="0"/>
          <w:sz w:val="15"/>
          <w:szCs w:val="15"/>
        </w:rPr>
        <w:t>60</w:t>
      </w:r>
      <w:r>
        <w:rPr>
          <w:rFonts w:hint="eastAsia" w:ascii="方正黑体_GBK" w:hAnsi="方正黑体_GBK" w:eastAsia="方正黑体_GBK"/>
          <w:vanish w:val="0"/>
          <w:color w:val="3D3D3D"/>
          <w:kern w:val="0"/>
          <w:sz w:val="15"/>
          <w:szCs w:val="15"/>
        </w:rPr>
        <w:t>个工作日内、每年结束之日起</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vanish w:val="0"/>
          <w:color w:val="3D3D3D"/>
          <w:kern w:val="0"/>
          <w:sz w:val="15"/>
          <w:szCs w:val="15"/>
        </w:rPr>
        <w:t>个工作日内披露本理财产品的季度、半年和年度报告，如果本理财产品成立不足</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cs="Times New Roman"/>
          <w:vanish w:val="0"/>
          <w:color w:val="3D3D3D"/>
          <w:kern w:val="0"/>
          <w:sz w:val="15"/>
          <w:szCs w:val="15"/>
        </w:rPr>
        <w:t>个工作</w:t>
      </w:r>
      <w:r>
        <w:rPr>
          <w:rFonts w:hint="eastAsia" w:ascii="方正黑体_GBK" w:hAnsi="方正黑体_GBK" w:eastAsia="方正黑体_GBK"/>
          <w:vanish w:val="0"/>
          <w:color w:val="3D3D3D"/>
          <w:kern w:val="0"/>
          <w:sz w:val="15"/>
          <w:szCs w:val="15"/>
        </w:rPr>
        <w:t>日或者剩余存续期不超过</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cs="Times New Roman"/>
          <w:vanish w:val="0"/>
          <w:color w:val="3D3D3D"/>
          <w:kern w:val="0"/>
          <w:sz w:val="15"/>
          <w:szCs w:val="15"/>
        </w:rPr>
        <w:t>个工作</w:t>
      </w:r>
      <w:r>
        <w:rPr>
          <w:rFonts w:hint="eastAsia" w:ascii="方正黑体_GBK" w:hAnsi="方正黑体_GBK" w:eastAsia="方正黑体_GBK"/>
          <w:vanish w:val="0"/>
          <w:color w:val="3D3D3D"/>
          <w:kern w:val="0"/>
          <w:sz w:val="15"/>
          <w:szCs w:val="15"/>
        </w:rPr>
        <w:t>日的，管理人可以不编制产品当期的季度、半年和年度报告。</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到期公告</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管理人将在本理财产品终止后</w:t>
      </w:r>
      <w:r>
        <w:rPr>
          <w:rFonts w:ascii="方正黑体_GBK" w:hAnsi="方正黑体_GBK" w:eastAsia="方正黑体_GBK"/>
          <w:vanish w:val="0"/>
          <w:color w:val="3D3D3D"/>
          <w:kern w:val="0"/>
          <w:sz w:val="15"/>
          <w:szCs w:val="15"/>
        </w:rPr>
        <w:t>5</w:t>
      </w:r>
      <w:r>
        <w:rPr>
          <w:rFonts w:hint="eastAsia" w:ascii="方正黑体_GBK" w:hAnsi="方正黑体_GBK" w:eastAsia="方正黑体_GBK"/>
          <w:vanish w:val="0"/>
          <w:color w:val="3D3D3D"/>
          <w:kern w:val="0"/>
          <w:sz w:val="15"/>
          <w:szCs w:val="15"/>
        </w:rPr>
        <w:t>个工作日内披露产品到期公告。</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重大事项公告</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管理人将在发生可能对本理财产品投资者或者理财产品收益产生重大影响的事件后</w:t>
      </w:r>
      <w:r>
        <w:rPr>
          <w:rFonts w:ascii="方正黑体_GBK" w:hAnsi="方正黑体_GBK" w:eastAsia="方正黑体_GBK"/>
          <w:vanish w:val="0"/>
          <w:color w:val="3D3D3D"/>
          <w:kern w:val="0"/>
          <w:sz w:val="15"/>
          <w:szCs w:val="15"/>
        </w:rPr>
        <w:t>2</w:t>
      </w:r>
      <w:r>
        <w:rPr>
          <w:rFonts w:hint="eastAsia" w:ascii="方正黑体_GBK" w:hAnsi="方正黑体_GBK" w:eastAsia="方正黑体_GBK"/>
          <w:vanish w:val="0"/>
          <w:color w:val="3D3D3D"/>
          <w:kern w:val="0"/>
          <w:sz w:val="15"/>
          <w:szCs w:val="15"/>
        </w:rPr>
        <w:t>个工作日内披露重大事项公告。</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临时公告</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理财产品在运作管理过程中，发生可能对理财产品持有人权益产生影响的事项时，管理人将根据法律法规规定及时进行临时信息披露。</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关联交易信息披露</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ascii="方正黑体_GBK" w:hAnsi="方正黑体_GBK" w:eastAsia="方正黑体_GBK"/>
          <w:vanish w:val="0"/>
          <w:color w:val="3D3D3D"/>
          <w:kern w:val="0"/>
          <w:sz w:val="15"/>
          <w:szCs w:val="15"/>
        </w:rPr>
        <w:t>。</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账单</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ascii="方正黑体_GBK" w:hAnsi="方正黑体_GBK" w:eastAsia="方正黑体_GBK"/>
          <w:vanish w:val="0"/>
          <w:color w:val="3D3D3D"/>
          <w:kern w:val="0"/>
          <w:sz w:val="15"/>
          <w:szCs w:val="15"/>
        </w:rPr>
        <w:t>。</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Times New Roman"/>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在本理财产品存续期内：</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Times New Roman"/>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1</w:t>
      </w:r>
      <w:r>
        <w:rPr>
          <w:rFonts w:hint="eastAsia" w:ascii="方正黑体_GBK" w:hAnsi="方正黑体_GBK" w:eastAsia="方正黑体_GBK" w:cs="Times New Roman"/>
          <w:b/>
          <w:bCs/>
          <w:vanish w:val="0"/>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2</w:t>
      </w: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10.其他公告</w:t>
      </w:r>
    </w:p>
    <w:p>
      <w:pPr>
        <w:pStyle w:val="31"/>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rPr>
      </w:pPr>
      <w:r>
        <w:rPr>
          <w:rFonts w:hint="eastAsia" w:ascii="方正黑体_GBK" w:hAnsi="方正黑体_GBK" w:eastAsia="方正黑体_GBK"/>
          <w:vanish w:val="0"/>
          <w:color w:val="3D3D3D"/>
          <w:kern w:val="0"/>
          <w:sz w:val="15"/>
          <w:szCs w:val="15"/>
        </w:rPr>
        <w:t>理财产品在运作管理过程中，管理人根据实际运作情况发布的其他公告。</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六</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投资者保护提示</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您如对销售机构产品推介和销售等服务有任何意见或建议，您可通过拨打销售机构客服电话进行咨询及反馈。</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您如对理财产品设计、投资管理等事项有任何意见或建议，您可通过拨打管理人客服电话进行咨询及反馈。</w:t>
      </w:r>
    </w:p>
    <w:p>
      <w:pPr>
        <w:pStyle w:val="31"/>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lang w:val="en-US" w:eastAsia="zh-CN"/>
        </w:rPr>
      </w:pPr>
      <w:r>
        <w:rPr>
          <w:rFonts w:hint="eastAsia" w:ascii="方正黑体_GBK" w:hAnsi="方正黑体_GBK" w:eastAsia="方正黑体_GBK" w:cs="Times New Roman"/>
          <w:vanish w:val="0"/>
          <w:color w:val="3D3D3D"/>
          <w:kern w:val="0"/>
          <w:sz w:val="15"/>
          <w:szCs w:val="15"/>
        </w:rPr>
        <w:t>销售机构及管理人的联系方式详见《投资者权益须知》第八条。</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七</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法律适用和争议解决</w:t>
      </w:r>
    </w:p>
    <w:p>
      <w:pPr>
        <w:pStyle w:val="31"/>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lang w:val="en-US" w:eastAsia="zh-CN"/>
        </w:rPr>
      </w:pPr>
      <w:r>
        <w:rPr>
          <w:rFonts w:hint="eastAsia" w:ascii="方正黑体_GBK" w:hAnsi="方正黑体_GBK" w:eastAsia="方正黑体_GBK" w:cs="Times New Roman"/>
          <w:vanish w:val="0"/>
          <w:color w:val="3D3D3D"/>
          <w:kern w:val="0"/>
          <w:sz w:val="15"/>
          <w:szCs w:val="15"/>
        </w:rPr>
        <w:t>理财产品销售文件的订立、生效、履行、解释、修改和终止等事项的适用法律和争议解决方式按照销售协议书的相关约定执行。</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八</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重要提示</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请您一定仔细阅读本理财产品销售文件，了解理财产品具体情况，关注投资风险，自主决定是否投资。</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投资者特此</w:t>
      </w:r>
      <w:r>
        <w:rPr>
          <w:rFonts w:hint="eastAsia" w:ascii="方正黑体_GBK" w:hAnsi="方正黑体_GBK" w:eastAsia="方正黑体_GBK" w:cs="Times New Roman"/>
          <w:b/>
          <w:bCs/>
          <w:vanish w:val="0"/>
          <w:color w:val="auto"/>
          <w:kern w:val="0"/>
          <w:sz w:val="15"/>
          <w:szCs w:val="15"/>
        </w:rPr>
        <w:t>同</w:t>
      </w:r>
      <w:r>
        <w:rPr>
          <w:rFonts w:hint="eastAsia" w:ascii="方正黑体_GBK" w:hAnsi="方正黑体_GBK" w:eastAsia="方正黑体_GBK"/>
          <w:b/>
          <w:bCs/>
          <w:vanish w:val="0"/>
          <w:color w:val="auto"/>
          <w:kern w:val="0"/>
          <w:sz w:val="15"/>
          <w:szCs w:val="15"/>
        </w:rPr>
        <w:t>意</w:t>
      </w:r>
      <w:r>
        <w:rPr>
          <w:rFonts w:hint="eastAsia" w:ascii="方正黑体_GBK" w:hAnsi="方正黑体_GBK" w:eastAsia="方正黑体_GBK" w:cs="Times New Roman"/>
          <w:b/>
          <w:bCs/>
          <w:vanish w:val="0"/>
          <w:color w:val="auto"/>
          <w:kern w:val="0"/>
          <w:sz w:val="15"/>
          <w:szCs w:val="15"/>
        </w:rPr>
        <w:t>并授权：</w:t>
      </w:r>
      <w:r>
        <w:rPr>
          <w:rFonts w:hint="eastAsia" w:ascii="方正黑体_GBK" w:hAnsi="方正黑体_GBK" w:eastAsia="方正黑体_GBK"/>
          <w:b/>
          <w:bCs/>
          <w:vanish w:val="0"/>
          <w:color w:val="auto"/>
          <w:kern w:val="0"/>
          <w:sz w:val="15"/>
          <w:szCs w:val="15"/>
        </w:rPr>
        <w:t>管理人</w:t>
      </w:r>
      <w:r>
        <w:rPr>
          <w:rFonts w:hint="eastAsia" w:ascii="方正黑体_GBK" w:hAnsi="方正黑体_GBK" w:eastAsia="方正黑体_GBK" w:cs="Times New Roman"/>
          <w:b/>
          <w:bCs/>
          <w:vanish w:val="0"/>
          <w:color w:val="auto"/>
          <w:kern w:val="0"/>
          <w:sz w:val="15"/>
          <w:szCs w:val="15"/>
        </w:rPr>
        <w:t>及销售机构</w:t>
      </w:r>
      <w:r>
        <w:rPr>
          <w:rFonts w:hint="eastAsia" w:ascii="方正黑体_GBK" w:hAnsi="方正黑体_GBK" w:eastAsia="方正黑体_GBK"/>
          <w:b/>
          <w:bCs/>
          <w:vanish w:val="0"/>
          <w:color w:val="auto"/>
          <w:kern w:val="0"/>
          <w:sz w:val="15"/>
          <w:szCs w:val="15"/>
        </w:rPr>
        <w:t>有权按照法律法规</w:t>
      </w:r>
      <w:r>
        <w:rPr>
          <w:rFonts w:hint="eastAsia" w:ascii="方正黑体_GBK" w:hAnsi="方正黑体_GBK" w:eastAsia="方正黑体_GBK" w:cs="Times New Roman"/>
          <w:b/>
          <w:bCs/>
          <w:vanish w:val="0"/>
          <w:color w:val="auto"/>
          <w:kern w:val="0"/>
          <w:sz w:val="15"/>
          <w:szCs w:val="15"/>
        </w:rPr>
        <w:t>规定，遵循正当、必要的原则，收集、使用投资者个人信息，包括但不限于</w:t>
      </w:r>
      <w:r>
        <w:rPr>
          <w:rFonts w:hint="eastAsia" w:ascii="方正黑体_GBK" w:hAnsi="方正黑体_GBK" w:eastAsia="方正黑体_GBK"/>
          <w:b/>
          <w:bCs/>
          <w:vanish w:val="0"/>
          <w:color w:val="auto"/>
          <w:kern w:val="0"/>
          <w:sz w:val="15"/>
          <w:szCs w:val="15"/>
        </w:rPr>
        <w:t>根据法律法规规定</w:t>
      </w:r>
      <w:r>
        <w:rPr>
          <w:rFonts w:hint="eastAsia" w:ascii="方正黑体_GBK" w:hAnsi="方正黑体_GBK" w:eastAsia="方正黑体_GBK" w:cs="Times New Roman"/>
          <w:b/>
          <w:bCs/>
          <w:vanish w:val="0"/>
          <w:color w:val="auto"/>
          <w:kern w:val="0"/>
          <w:sz w:val="15"/>
          <w:szCs w:val="15"/>
        </w:rPr>
        <w:t>、监管或</w:t>
      </w:r>
      <w:r>
        <w:rPr>
          <w:rFonts w:hint="eastAsia" w:ascii="方正黑体_GBK" w:hAnsi="方正黑体_GBK" w:eastAsia="方正黑体_GBK"/>
          <w:b/>
          <w:bCs/>
          <w:vanish w:val="0"/>
          <w:color w:val="auto"/>
          <w:kern w:val="0"/>
          <w:sz w:val="15"/>
          <w:szCs w:val="15"/>
        </w:rPr>
        <w:t>有权机关要求</w:t>
      </w:r>
      <w:r>
        <w:rPr>
          <w:rFonts w:hint="eastAsia" w:ascii="方正黑体_GBK" w:hAnsi="方正黑体_GBK" w:eastAsia="方正黑体_GBK" w:cs="Times New Roman"/>
          <w:b/>
          <w:bCs/>
          <w:vanish w:val="0"/>
          <w:color w:val="auto"/>
          <w:kern w:val="0"/>
          <w:sz w:val="15"/>
          <w:szCs w:val="15"/>
        </w:rPr>
        <w:t>、理财业务需要等采集、处理及使用</w:t>
      </w:r>
      <w:r>
        <w:rPr>
          <w:rFonts w:hint="eastAsia" w:ascii="方正黑体_GBK" w:hAnsi="方正黑体_GBK" w:eastAsia="方正黑体_GBK"/>
          <w:b/>
          <w:bCs/>
          <w:vanish w:val="0"/>
          <w:color w:val="auto"/>
          <w:kern w:val="0"/>
          <w:sz w:val="15"/>
          <w:szCs w:val="15"/>
        </w:rPr>
        <w:t>投资者身份、持有理财产品、理财产品交易等信息</w:t>
      </w:r>
      <w:r>
        <w:rPr>
          <w:rFonts w:hint="eastAsia" w:ascii="方正黑体_GBK" w:hAnsi="方正黑体_GBK" w:eastAsia="方正黑体_GBK" w:cs="Times New Roman"/>
          <w:b/>
          <w:bCs/>
          <w:vanish w:val="0"/>
          <w:color w:val="auto"/>
          <w:kern w:val="0"/>
          <w:sz w:val="15"/>
          <w:szCs w:val="15"/>
        </w:rPr>
        <w:t>，</w:t>
      </w:r>
      <w:r>
        <w:rPr>
          <w:rFonts w:hint="eastAsia" w:ascii="方正黑体_GBK" w:hAnsi="方正黑体_GBK" w:eastAsia="方正黑体_GBK"/>
          <w:b/>
          <w:bCs/>
          <w:vanish w:val="0"/>
          <w:color w:val="auto"/>
          <w:kern w:val="0"/>
          <w:sz w:val="15"/>
          <w:szCs w:val="15"/>
        </w:rPr>
        <w:t>以及</w:t>
      </w:r>
      <w:r>
        <w:rPr>
          <w:rFonts w:hint="eastAsia" w:ascii="方正黑体_GBK" w:hAnsi="方正黑体_GBK" w:eastAsia="方正黑体_GBK"/>
          <w:b/>
          <w:bCs/>
          <w:vanish w:val="0"/>
          <w:color w:val="auto"/>
          <w:spacing w:val="0"/>
          <w:kern w:val="0"/>
          <w:sz w:val="15"/>
          <w:szCs w:val="15"/>
        </w:rPr>
        <w:t>在办理与理财产品相关事项</w:t>
      </w:r>
      <w:r>
        <w:rPr>
          <w:rFonts w:hint="eastAsia" w:ascii="方正黑体_GBK" w:hAnsi="方正黑体_GBK" w:eastAsia="方正黑体_GBK" w:cs="Times New Roman"/>
          <w:b/>
          <w:bCs/>
          <w:vanish w:val="0"/>
          <w:color w:val="auto"/>
          <w:spacing w:val="0"/>
          <w:kern w:val="0"/>
          <w:sz w:val="15"/>
          <w:szCs w:val="15"/>
        </w:rPr>
        <w:t>需要</w:t>
      </w:r>
      <w:r>
        <w:rPr>
          <w:rFonts w:hint="eastAsia" w:ascii="方正黑体_GBK" w:hAnsi="方正黑体_GBK" w:eastAsia="方正黑体_GBK"/>
          <w:b/>
          <w:bCs/>
          <w:vanish w:val="0"/>
          <w:color w:val="auto"/>
          <w:spacing w:val="0"/>
          <w:kern w:val="0"/>
          <w:sz w:val="15"/>
          <w:szCs w:val="15"/>
        </w:rPr>
        <w:t>的情况下向服务机构及其他管理人或销售机构认为必要的业务合作机构提供投资者</w:t>
      </w:r>
      <w:r>
        <w:rPr>
          <w:rFonts w:hint="eastAsia" w:ascii="方正黑体_GBK" w:hAnsi="方正黑体_GBK" w:eastAsia="方正黑体_GBK" w:cs="Times New Roman"/>
          <w:b/>
          <w:bCs/>
          <w:vanish w:val="0"/>
          <w:color w:val="auto"/>
          <w:spacing w:val="0"/>
          <w:kern w:val="0"/>
          <w:sz w:val="15"/>
          <w:szCs w:val="15"/>
        </w:rPr>
        <w:t>相关</w:t>
      </w:r>
      <w:r>
        <w:rPr>
          <w:rFonts w:hint="eastAsia" w:ascii="方正黑体_GBK" w:hAnsi="方正黑体_GBK" w:eastAsia="方正黑体_GBK"/>
          <w:b/>
          <w:bCs/>
          <w:vanish w:val="0"/>
          <w:color w:val="auto"/>
          <w:spacing w:val="0"/>
          <w:kern w:val="0"/>
          <w:sz w:val="15"/>
          <w:szCs w:val="15"/>
        </w:rPr>
        <w:t>信息</w:t>
      </w:r>
      <w:r>
        <w:rPr>
          <w:rFonts w:hint="eastAsia" w:ascii="方正黑体_GBK" w:hAnsi="方正黑体_GBK" w:eastAsia="方正黑体_GBK" w:cs="Times New Roman"/>
          <w:b/>
          <w:bCs/>
          <w:vanish w:val="0"/>
          <w:color w:val="auto"/>
          <w:spacing w:val="0"/>
          <w:kern w:val="0"/>
          <w:sz w:val="15"/>
          <w:szCs w:val="15"/>
        </w:rPr>
        <w:t>。</w:t>
      </w:r>
      <w:r>
        <w:rPr>
          <w:rFonts w:hint="eastAsia" w:ascii="方正黑体_GBK" w:hAnsi="方正黑体_GBK" w:eastAsia="方正黑体_GBK"/>
          <w:b/>
          <w:bCs/>
          <w:vanish w:val="0"/>
          <w:color w:val="auto"/>
          <w:kern w:val="0"/>
          <w:sz w:val="15"/>
          <w:szCs w:val="15"/>
        </w:rPr>
        <w:t>管理人及销售机构保证信息采集、处理及使用的安全性和合法性</w:t>
      </w:r>
      <w:r>
        <w:rPr>
          <w:rFonts w:hint="eastAsia" w:ascii="方正黑体_GBK" w:hAnsi="方正黑体_GBK" w:eastAsia="方正黑体_GBK"/>
          <w:b/>
          <w:bCs/>
          <w:vanish w:val="0"/>
          <w:color w:val="auto"/>
          <w:spacing w:val="0"/>
          <w:kern w:val="0"/>
          <w:sz w:val="15"/>
          <w:szCs w:val="15"/>
        </w:rPr>
        <w:t>。</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本理财产品说明书在法律许可的范围内由管理人负责解释。若投资者对本理财说明书的内容有任何疑问或异议，</w:t>
      </w:r>
      <w:r>
        <w:rPr>
          <w:rFonts w:hint="eastAsia" w:ascii="方正黑体_GBK" w:hAnsi="方正黑体_GBK" w:eastAsia="方正黑体_GBK" w:cs="Times New Roman"/>
          <w:b/>
          <w:bCs/>
          <w:vanish w:val="0"/>
          <w:color w:val="auto"/>
          <w:kern w:val="0"/>
          <w:sz w:val="15"/>
          <w:szCs w:val="15"/>
        </w:rPr>
        <w:t>可与管理人或销售机构联系，管理人或销售机构将及时接听、记录投资者的意见或建议，并与投资者协商共同解决</w:t>
      </w:r>
      <w:r>
        <w:rPr>
          <w:rFonts w:hint="eastAsia" w:ascii="方正黑体_GBK" w:hAnsi="方正黑体_GBK" w:eastAsia="方正黑体_GBK"/>
          <w:b/>
          <w:bCs/>
          <w:vanish w:val="0"/>
          <w:color w:val="auto"/>
          <w:kern w:val="0"/>
          <w:sz w:val="15"/>
          <w:szCs w:val="15"/>
        </w:rPr>
        <w:t>。</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ascii="方正黑体_GBK" w:hAnsi="方正黑体_GBK" w:eastAsia="方正黑体_GBK"/>
          <w:b/>
          <w:bCs/>
          <w:vanish w:val="0"/>
          <w:color w:val="3D3D3D"/>
          <w:kern w:val="0"/>
          <w:sz w:val="15"/>
          <w:szCs w:val="15"/>
        </w:rPr>
      </w:pP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风险提示：</w:t>
      </w:r>
    </w:p>
    <w:p>
      <w:pPr>
        <w:pStyle w:val="31"/>
        <w:tabs>
          <w:tab w:val="left" w:pos="8033"/>
        </w:tabs>
        <w:ind w:left="0" w:firstLine="0"/>
        <w:jc w:val="left"/>
        <w:rPr>
          <w:rFonts w:hint="eastAsia" w:ascii="方正黑体_GBK" w:hAnsi="方正黑体_GBK" w:eastAsia="方正黑体_GBK"/>
          <w:b/>
          <w:bCs/>
          <w:color w:val="3D3D3D"/>
          <w:kern w:val="0"/>
          <w:sz w:val="15"/>
          <w:szCs w:val="15"/>
        </w:rPr>
      </w:pPr>
      <w:r>
        <w:rPr>
          <w:rFonts w:hint="eastAsia" w:ascii="方正黑体_GBK" w:hAnsi="方正黑体_GBK" w:eastAsia="方正黑体_GBK"/>
          <w:b/>
          <w:bCs/>
          <w:color w:val="3D3D3D"/>
          <w:kern w:val="0"/>
          <w:sz w:val="15"/>
          <w:szCs w:val="15"/>
        </w:rPr>
        <w:t>本理财产品是</w:t>
      </w:r>
      <w:r>
        <w:rPr>
          <w:rFonts w:hint="eastAsia" w:ascii="方正黑体_GBK" w:hAnsi="方正黑体_GBK" w:eastAsia="方正黑体_GBK" w:cs="宋体"/>
          <w:b/>
          <w:bCs/>
          <w:i/>
          <w:iCs/>
          <w:caps w:val="0"/>
          <w:smallCaps w:val="0"/>
          <w:snapToGrid/>
          <w:vanish w:val="0"/>
          <w:color w:val="auto"/>
          <w:kern w:val="0"/>
          <w:sz w:val="20"/>
          <w:szCs w:val="18"/>
          <w:u w:val="single"/>
          <w:vertAlign w:val="baseline"/>
          <w:lang w:val="en-US" w:eastAsia="zh-CN"/>
        </w:rPr>
        <w:t>开放式、固定收益类、公募、净值型</w:t>
      </w:r>
      <w:r>
        <w:rPr>
          <w:rFonts w:hint="eastAsia" w:ascii="方正黑体_GBK" w:hAnsi="方正黑体_GBK" w:eastAsia="方正黑体_GBK"/>
          <w:b/>
          <w:bCs/>
          <w:color w:val="3D3D3D"/>
          <w:kern w:val="0"/>
          <w:sz w:val="15"/>
          <w:szCs w:val="15"/>
        </w:rPr>
        <w:t>理财产品，</w:t>
      </w:r>
      <w:r>
        <w:rPr>
          <w:rFonts w:hint="eastAsia" w:ascii="方正黑体_GBK" w:hAnsi="方正黑体_GBK" w:eastAsia="方正黑体_GBK"/>
          <w:b/>
          <w:bCs/>
          <w:i/>
          <w:iCs/>
          <w:color w:val="3D3D3D"/>
          <w:kern w:val="0"/>
          <w:sz w:val="21"/>
          <w:szCs w:val="21"/>
          <w:u w:val="single"/>
        </w:rPr>
        <w:t>不保证本金和收益</w:t>
      </w:r>
      <w:r>
        <w:rPr>
          <w:rFonts w:hint="eastAsia" w:ascii="方正黑体_GBK" w:hAnsi="方正黑体_GBK" w:eastAsia="方正黑体_GBK"/>
          <w:b/>
          <w:bCs/>
          <w:color w:val="3D3D3D"/>
          <w:kern w:val="0"/>
          <w:sz w:val="15"/>
          <w:szCs w:val="15"/>
        </w:rPr>
        <w:t>，您的本金与收益可能会蒙受重大损失，您应仔细阅读</w:t>
      </w:r>
      <w:r>
        <w:rPr>
          <w:rFonts w:hint="eastAsia" w:ascii="方正黑体_GBK" w:hAnsi="方正黑体_GBK" w:eastAsia="方正黑体_GBK" w:cs="Times New Roman"/>
          <w:b/>
          <w:bCs/>
          <w:color w:val="3D3D3D"/>
          <w:kern w:val="0"/>
          <w:sz w:val="15"/>
          <w:szCs w:val="15"/>
        </w:rPr>
        <w:t>《理财产品风险揭示书》《理财产品说明书》《投资者权益须知》《理财产品销售协议书》《理财产品投资协议书》</w:t>
      </w:r>
      <w:r>
        <w:rPr>
          <w:rFonts w:hint="eastAsia" w:ascii="方正黑体_GBK" w:hAnsi="方正黑体_GBK" w:eastAsia="方正黑体_GBK"/>
          <w:b/>
          <w:bCs/>
          <w:color w:val="3D3D3D"/>
          <w:kern w:val="0"/>
          <w:sz w:val="15"/>
          <w:szCs w:val="15"/>
        </w:rPr>
        <w:t>，充分认识投资风险，谨慎投资。</w:t>
      </w:r>
    </w:p>
    <w:p>
      <w:pPr>
        <w:pStyle w:val="10"/>
        <w:rPr>
          <w:rFonts w:hint="eastAsia" w:ascii="方正黑体_GBK" w:hAnsi="方正黑体_GBK" w:eastAsia="方正黑体_GBK"/>
          <w:b/>
          <w:bCs/>
          <w:color w:val="3D3D3D"/>
          <w:kern w:val="0"/>
          <w:sz w:val="15"/>
          <w:szCs w:val="15"/>
        </w:rPr>
      </w:pPr>
    </w:p>
    <w:p>
      <w:pPr>
        <w:rPr>
          <w:rFonts w:hint="eastAsia" w:ascii="方正黑体_GBK" w:hAnsi="方正黑体_GBK" w:eastAsia="方正黑体_GBK"/>
          <w:b/>
          <w:bCs/>
          <w:color w:val="3D3D3D"/>
          <w:kern w:val="0"/>
          <w:sz w:val="15"/>
          <w:szCs w:val="15"/>
        </w:rPr>
      </w:pPr>
    </w:p>
    <w:p>
      <w:pPr>
        <w:jc w:val="center"/>
        <w:rPr>
          <w:rFonts w:ascii="黑体" w:hAnsi="宋体" w:eastAsia="黑体"/>
          <w:b/>
          <w:bCs/>
          <w:sz w:val="24"/>
          <w:szCs w:val="15"/>
        </w:rPr>
      </w:pPr>
      <w:r>
        <w:rPr>
          <w:rFonts w:hint="eastAsia" w:ascii="黑体" w:hAnsi="宋体" w:eastAsia="黑体"/>
          <w:b/>
          <w:bCs/>
          <w:sz w:val="24"/>
          <w:szCs w:val="15"/>
        </w:rPr>
        <w:t>投资者权益须知</w:t>
      </w:r>
    </w:p>
    <w:p>
      <w:pPr>
        <w:ind w:firstLine="320" w:firstLineChars="200"/>
        <w:jc w:val="center"/>
        <w:rPr>
          <w:rFonts w:ascii="宋体" w:hAnsi="宋体"/>
          <w:b/>
          <w:i/>
          <w:sz w:val="16"/>
          <w:szCs w:val="15"/>
          <w:u w:val="single"/>
        </w:rPr>
      </w:pPr>
    </w:p>
    <w:p>
      <w:pPr>
        <w:ind w:firstLine="320" w:firstLineChars="200"/>
        <w:jc w:val="center"/>
        <w:rPr>
          <w:rFonts w:ascii="宋体" w:hAnsi="宋体"/>
          <w:b/>
          <w:i/>
          <w:sz w:val="16"/>
          <w:szCs w:val="15"/>
          <w:u w:val="single"/>
        </w:rPr>
      </w:pPr>
      <w:r>
        <w:rPr>
          <w:rFonts w:hint="eastAsia" w:ascii="宋体" w:hAnsi="宋体"/>
          <w:b/>
          <w:i/>
          <w:sz w:val="16"/>
          <w:szCs w:val="15"/>
          <w:u w:val="single"/>
        </w:rPr>
        <w:t xml:space="preserve">“理财非存款、产品有风险、理财产品过往业绩不代表其未来表现，不等于理财产品实际收益，投资须谨慎！” </w:t>
      </w:r>
    </w:p>
    <w:p>
      <w:pPr>
        <w:pStyle w:val="13"/>
        <w:spacing w:before="0" w:after="0" w:line="240" w:lineRule="auto"/>
        <w:ind w:firstLine="0"/>
        <w:rPr>
          <w:spacing w:val="10"/>
          <w:kern w:val="2"/>
          <w:sz w:val="15"/>
          <w:szCs w:val="15"/>
        </w:rPr>
      </w:pPr>
      <w:r>
        <w:rPr>
          <w:rFonts w:hint="eastAsia"/>
          <w:spacing w:val="10"/>
          <w:kern w:val="2"/>
          <w:sz w:val="15"/>
          <w:szCs w:val="15"/>
        </w:rPr>
        <w:t>尊敬的投资者：</w:t>
      </w:r>
    </w:p>
    <w:p>
      <w:pPr>
        <w:pStyle w:val="13"/>
        <w:spacing w:before="0" w:after="0" w:line="240" w:lineRule="auto"/>
        <w:ind w:firstLine="340" w:firstLineChars="20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pPr>
        <w:pStyle w:val="13"/>
        <w:spacing w:before="0" w:after="0" w:line="240" w:lineRule="auto"/>
        <w:ind w:firstLine="340" w:firstLineChars="20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pPr>
        <w:pStyle w:val="13"/>
        <w:spacing w:line="240" w:lineRule="auto"/>
        <w:ind w:left="341" w:firstLine="0"/>
        <w:jc w:val="both"/>
        <w:rPr>
          <w:b/>
          <w:spacing w:val="10"/>
          <w:kern w:val="2"/>
          <w:sz w:val="15"/>
          <w:szCs w:val="15"/>
        </w:rPr>
      </w:pPr>
      <w:r>
        <w:rPr>
          <w:rFonts w:hint="eastAsia"/>
          <w:b/>
          <w:spacing w:val="10"/>
          <w:kern w:val="2"/>
          <w:sz w:val="15"/>
          <w:szCs w:val="15"/>
        </w:rPr>
        <w:t>第一条 理财产品购买流程说明</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pPr>
        <w:pStyle w:val="13"/>
        <w:spacing w:before="0" w:after="0" w:line="240" w:lineRule="auto"/>
        <w:ind w:firstLine="338" w:firstLineChars="199"/>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pPr>
        <w:pStyle w:val="13"/>
        <w:spacing w:before="0" w:after="0" w:line="240" w:lineRule="auto"/>
        <w:ind w:firstLine="338" w:firstLineChars="199"/>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pPr>
        <w:pStyle w:val="13"/>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pPr>
        <w:pStyle w:val="13"/>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pPr>
        <w:pStyle w:val="13"/>
        <w:spacing w:before="0" w:after="0" w:line="240" w:lineRule="auto"/>
        <w:ind w:firstLine="340" w:firstLineChars="20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●机构投资者适用</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投资者按照代销机构的要求进行理财签约。</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●个人投资者适用</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pPr>
        <w:pStyle w:val="13"/>
        <w:spacing w:before="0" w:after="0" w:line="240" w:lineRule="auto"/>
        <w:ind w:firstLine="340" w:firstLineChars="20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开放期销售时段内，投资者可选择在代销机构营业网点或电子渠道购买。</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（1）营业网点</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●机构投资者适用</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申购交易；完成认/申购交易不等同于认/申购成功，认/申购结果以南银理财系统的确认结果为准。</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●个人投资者适用</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如个人投资者选择在代销机构营业网点购买理财产品，流程如下：</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开放期销售时段内，按照对应期次的《理财产品说明书》约定的币种和金额存入授权指定账户。</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（2）电子渠道</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pPr>
        <w:pStyle w:val="13"/>
        <w:spacing w:before="0" w:after="0" w:line="240" w:lineRule="auto"/>
        <w:ind w:firstLine="340" w:firstLineChars="20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pPr>
        <w:pStyle w:val="13"/>
        <w:spacing w:before="0" w:after="0" w:line="240" w:lineRule="auto"/>
        <w:ind w:firstLine="340" w:firstLineChars="20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提前终止—当理财产品发生全部提前终止时，南银理财和代销机构应当按照对应期次理财产品销售文件约定的方式向投资者告知相应理财产品的提前终止事宜。</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pPr>
        <w:widowControl/>
        <w:ind w:left="399" w:leftChars="190"/>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pPr>
        <w:pStyle w:val="13"/>
        <w:spacing w:before="0" w:after="0" w:line="240" w:lineRule="auto"/>
        <w:ind w:firstLine="340" w:firstLineChars="200"/>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pPr>
        <w:pStyle w:val="13"/>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pPr>
        <w:pStyle w:val="13"/>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.个人投资者首次通过销售机构购买理财产品时应根据销售机构的要求进行风险承受能力评估。</w:t>
      </w:r>
    </w:p>
    <w:p>
      <w:pPr>
        <w:pStyle w:val="13"/>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pPr>
        <w:pStyle w:val="13"/>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.个人投资者风险承受能力评估流程</w:t>
      </w:r>
    </w:p>
    <w:p>
      <w:pPr>
        <w:pStyle w:val="13"/>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pPr>
        <w:pStyle w:val="13"/>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pPr>
        <w:pStyle w:val="13"/>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pPr>
        <w:pStyle w:val="13"/>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pPr>
        <w:pStyle w:val="13"/>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pPr>
        <w:pStyle w:val="13"/>
        <w:spacing w:before="0" w:after="0" w:line="240" w:lineRule="auto"/>
        <w:ind w:firstLine="340" w:firstLineChars="200"/>
        <w:rPr>
          <w:bCs/>
          <w:spacing w:val="10"/>
          <w:kern w:val="2"/>
          <w:sz w:val="15"/>
          <w:szCs w:val="15"/>
        </w:rPr>
      </w:pPr>
      <w:r>
        <w:rPr>
          <w:rFonts w:hint="eastAsia"/>
          <w:spacing w:val="10"/>
          <w:kern w:val="2"/>
          <w:sz w:val="15"/>
          <w:szCs w:val="15"/>
        </w:rPr>
        <w:t>评级具体含义说</w:t>
      </w:r>
      <w:r>
        <w:rPr>
          <w:rFonts w:hint="eastAsia"/>
          <w:bCs/>
          <w:spacing w:val="10"/>
          <w:kern w:val="2"/>
          <w:sz w:val="15"/>
          <w:szCs w:val="15"/>
        </w:rPr>
        <w:t>明。投资者风险承受能力评估结果的含义如下：</w:t>
      </w:r>
    </w:p>
    <w:p>
      <w:pPr>
        <w:pStyle w:val="13"/>
        <w:spacing w:before="0" w:after="0" w:line="240" w:lineRule="auto"/>
        <w:ind w:firstLine="340" w:firstLineChars="200"/>
        <w:rPr>
          <w:bCs/>
          <w:spacing w:val="10"/>
          <w:kern w:val="2"/>
          <w:sz w:val="15"/>
          <w:szCs w:val="15"/>
        </w:rPr>
      </w:pPr>
      <w:r>
        <w:rPr>
          <w:rFonts w:hint="eastAsia"/>
          <w:bCs/>
          <w:spacing w:val="10"/>
          <w:kern w:val="2"/>
          <w:sz w:val="15"/>
          <w:szCs w:val="15"/>
        </w:rPr>
        <w:t>（一）低（一级）：风险承受能力弱，</w:t>
      </w:r>
      <w:r>
        <w:rPr>
          <w:bCs/>
          <w:spacing w:val="10"/>
          <w:kern w:val="2"/>
          <w:sz w:val="15"/>
          <w:szCs w:val="15"/>
        </w:rPr>
        <w:t>以本金不受损失或保持资产流动性为主要目标，</w:t>
      </w:r>
      <w:r>
        <w:rPr>
          <w:rFonts w:hint="eastAsia"/>
          <w:bCs/>
          <w:spacing w:val="10"/>
          <w:kern w:val="2"/>
          <w:sz w:val="15"/>
          <w:szCs w:val="15"/>
        </w:rPr>
        <w:t>对投资收益要求不高</w:t>
      </w:r>
      <w:r>
        <w:rPr>
          <w:bCs/>
          <w:spacing w:val="10"/>
          <w:kern w:val="2"/>
          <w:sz w:val="15"/>
          <w:szCs w:val="15"/>
        </w:rPr>
        <w:t>，可承受极低的本金损失</w:t>
      </w:r>
      <w:r>
        <w:rPr>
          <w:rFonts w:hint="eastAsia"/>
          <w:bCs/>
          <w:spacing w:val="10"/>
          <w:kern w:val="2"/>
          <w:sz w:val="15"/>
          <w:szCs w:val="15"/>
        </w:rPr>
        <w:t>；</w:t>
      </w:r>
    </w:p>
    <w:p>
      <w:pPr>
        <w:pStyle w:val="13"/>
        <w:spacing w:before="0" w:after="0" w:line="240" w:lineRule="auto"/>
        <w:ind w:firstLine="340" w:firstLineChars="200"/>
        <w:rPr>
          <w:bCs/>
          <w:spacing w:val="10"/>
          <w:kern w:val="2"/>
          <w:sz w:val="15"/>
          <w:szCs w:val="15"/>
        </w:rPr>
      </w:pPr>
      <w:r>
        <w:rPr>
          <w:bCs/>
          <w:spacing w:val="10"/>
          <w:kern w:val="2"/>
          <w:sz w:val="15"/>
          <w:szCs w:val="15"/>
        </w:rPr>
        <w:t>（二）</w:t>
      </w:r>
      <w:r>
        <w:rPr>
          <w:rFonts w:hint="eastAsia"/>
          <w:bCs/>
          <w:spacing w:val="10"/>
          <w:kern w:val="2"/>
          <w:sz w:val="15"/>
          <w:szCs w:val="15"/>
        </w:rPr>
        <w:t>中低（二级）：风险承受能力较弱，</w:t>
      </w:r>
      <w:r>
        <w:rPr>
          <w:bCs/>
          <w:spacing w:val="10"/>
          <w:kern w:val="2"/>
          <w:sz w:val="15"/>
          <w:szCs w:val="15"/>
        </w:rPr>
        <w:t>以获取相对稳定的收益为主要目标，愿意承受较低的本金损失</w:t>
      </w:r>
      <w:r>
        <w:rPr>
          <w:rFonts w:hint="eastAsia"/>
          <w:bCs/>
          <w:spacing w:val="10"/>
          <w:kern w:val="2"/>
          <w:sz w:val="15"/>
          <w:szCs w:val="15"/>
        </w:rPr>
        <w:t>；</w:t>
      </w:r>
    </w:p>
    <w:p>
      <w:pPr>
        <w:pStyle w:val="13"/>
        <w:spacing w:before="0" w:after="0" w:line="240" w:lineRule="auto"/>
        <w:ind w:firstLine="340" w:firstLineChars="200"/>
        <w:rPr>
          <w:bCs/>
          <w:spacing w:val="10"/>
          <w:kern w:val="2"/>
          <w:sz w:val="15"/>
          <w:szCs w:val="15"/>
        </w:rPr>
      </w:pPr>
      <w:r>
        <w:rPr>
          <w:bCs/>
          <w:spacing w:val="10"/>
          <w:kern w:val="2"/>
          <w:sz w:val="15"/>
          <w:szCs w:val="15"/>
        </w:rPr>
        <w:t>（三）</w:t>
      </w:r>
      <w:r>
        <w:rPr>
          <w:rFonts w:hint="eastAsia"/>
          <w:bCs/>
          <w:spacing w:val="10"/>
          <w:kern w:val="2"/>
          <w:sz w:val="15"/>
          <w:szCs w:val="15"/>
        </w:rPr>
        <w:t>中（三级）：风险承受能力中等，</w:t>
      </w:r>
      <w:r>
        <w:rPr>
          <w:bCs/>
          <w:spacing w:val="10"/>
          <w:kern w:val="2"/>
          <w:sz w:val="15"/>
          <w:szCs w:val="15"/>
        </w:rPr>
        <w:t>以获取稳定收益为主要目标，愿意承受相应的本金损失</w:t>
      </w:r>
      <w:r>
        <w:rPr>
          <w:rFonts w:hint="eastAsia"/>
          <w:bCs/>
          <w:spacing w:val="10"/>
          <w:kern w:val="2"/>
          <w:sz w:val="15"/>
          <w:szCs w:val="15"/>
        </w:rPr>
        <w:t>；</w:t>
      </w:r>
    </w:p>
    <w:p>
      <w:pPr>
        <w:pStyle w:val="13"/>
        <w:spacing w:before="0" w:after="0" w:line="240" w:lineRule="auto"/>
        <w:ind w:firstLine="340" w:firstLineChars="200"/>
        <w:rPr>
          <w:bCs/>
          <w:spacing w:val="10"/>
          <w:kern w:val="2"/>
          <w:sz w:val="15"/>
          <w:szCs w:val="15"/>
        </w:rPr>
      </w:pPr>
      <w:r>
        <w:rPr>
          <w:bCs/>
          <w:spacing w:val="10"/>
          <w:kern w:val="2"/>
          <w:sz w:val="15"/>
          <w:szCs w:val="15"/>
        </w:rPr>
        <w:t>（</w:t>
      </w:r>
      <w:r>
        <w:rPr>
          <w:rFonts w:hint="eastAsia"/>
          <w:bCs/>
          <w:spacing w:val="10"/>
          <w:kern w:val="2"/>
          <w:sz w:val="15"/>
          <w:szCs w:val="15"/>
        </w:rPr>
        <w:t>四</w:t>
      </w:r>
      <w:r>
        <w:rPr>
          <w:bCs/>
          <w:spacing w:val="10"/>
          <w:kern w:val="2"/>
          <w:sz w:val="15"/>
          <w:szCs w:val="15"/>
        </w:rPr>
        <w:t>）</w:t>
      </w:r>
      <w:r>
        <w:rPr>
          <w:rFonts w:hint="eastAsia"/>
          <w:bCs/>
          <w:spacing w:val="10"/>
          <w:kern w:val="2"/>
          <w:sz w:val="15"/>
          <w:szCs w:val="15"/>
        </w:rPr>
        <w:t>中高（四级）：风险承受能力较强，</w:t>
      </w:r>
      <w:r>
        <w:rPr>
          <w:bCs/>
          <w:spacing w:val="10"/>
          <w:kern w:val="2"/>
          <w:sz w:val="15"/>
          <w:szCs w:val="15"/>
        </w:rPr>
        <w:t>以获取较高投资回报为主要目标，愿意承担一定的本金损失</w:t>
      </w:r>
      <w:r>
        <w:rPr>
          <w:rFonts w:hint="eastAsia"/>
          <w:bCs/>
          <w:spacing w:val="10"/>
          <w:kern w:val="2"/>
          <w:sz w:val="15"/>
          <w:szCs w:val="15"/>
        </w:rPr>
        <w:t>；</w:t>
      </w:r>
    </w:p>
    <w:p>
      <w:pPr>
        <w:pStyle w:val="13"/>
        <w:spacing w:before="0" w:after="0" w:line="240" w:lineRule="auto"/>
        <w:ind w:firstLine="340" w:firstLineChars="200"/>
        <w:jc w:val="both"/>
        <w:rPr>
          <w:bCs/>
          <w:spacing w:val="10"/>
          <w:kern w:val="2"/>
          <w:sz w:val="15"/>
          <w:szCs w:val="15"/>
        </w:rPr>
      </w:pPr>
      <w:r>
        <w:rPr>
          <w:bCs/>
          <w:spacing w:val="10"/>
          <w:kern w:val="2"/>
          <w:sz w:val="15"/>
          <w:szCs w:val="15"/>
        </w:rPr>
        <w:t>（</w:t>
      </w:r>
      <w:r>
        <w:rPr>
          <w:rFonts w:hint="eastAsia"/>
          <w:bCs/>
          <w:spacing w:val="10"/>
          <w:kern w:val="2"/>
          <w:sz w:val="15"/>
          <w:szCs w:val="15"/>
        </w:rPr>
        <w:t>五</w:t>
      </w:r>
      <w:r>
        <w:rPr>
          <w:bCs/>
          <w:spacing w:val="10"/>
          <w:kern w:val="2"/>
          <w:sz w:val="15"/>
          <w:szCs w:val="15"/>
        </w:rPr>
        <w:t>）</w:t>
      </w:r>
      <w:r>
        <w:rPr>
          <w:rFonts w:hint="eastAsia"/>
          <w:bCs/>
          <w:spacing w:val="10"/>
          <w:kern w:val="2"/>
          <w:sz w:val="15"/>
          <w:szCs w:val="15"/>
        </w:rPr>
        <w:t>高（五级）：风险承受能力强，</w:t>
      </w:r>
      <w:r>
        <w:rPr>
          <w:bCs/>
          <w:spacing w:val="10"/>
          <w:kern w:val="2"/>
          <w:sz w:val="15"/>
          <w:szCs w:val="15"/>
        </w:rPr>
        <w:t>以获取高投资回报为主要目标，愿意承担较大的本金损失</w:t>
      </w:r>
      <w:r>
        <w:rPr>
          <w:rFonts w:hint="eastAsia"/>
          <w:bCs/>
          <w:spacing w:val="10"/>
          <w:kern w:val="2"/>
          <w:sz w:val="15"/>
          <w:szCs w:val="15"/>
        </w:rPr>
        <w:t>。</w:t>
      </w:r>
    </w:p>
    <w:p>
      <w:pPr>
        <w:pStyle w:val="13"/>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pPr>
        <w:pStyle w:val="13"/>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机构投资者请根据自身的财务状况、投资经验、投资目标、风险认知、风险判断及其他因素综合考量理财产品的投资风险及自身的风险承受能力。</w:t>
      </w:r>
    </w:p>
    <w:p>
      <w:pPr>
        <w:pStyle w:val="13"/>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pPr>
        <w:pStyle w:val="13"/>
        <w:spacing w:before="0" w:after="0" w:line="240" w:lineRule="auto"/>
        <w:ind w:firstLine="338" w:firstLineChars="199"/>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由于理财产品的运行方式和投资范围等不同，其承担的风险程度各有不同，南银理财将其风险等级分为五级，分别为：PR1级（低风险）、PR2级（中低风险）、PR3级（中等风险）、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pPr>
        <w:pStyle w:val="13"/>
        <w:spacing w:before="0" w:after="0" w:line="240" w:lineRule="auto"/>
        <w:ind w:firstLine="338" w:firstLineChars="199"/>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pPr>
        <w:pStyle w:val="13"/>
        <w:spacing w:before="0" w:after="0" w:line="240" w:lineRule="auto"/>
        <w:ind w:firstLine="338" w:firstLineChars="199"/>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pPr>
        <w:pStyle w:val="13"/>
        <w:spacing w:before="0" w:after="0" w:line="240" w:lineRule="auto"/>
        <w:ind w:firstLine="338" w:firstLineChars="199"/>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pPr>
        <w:pStyle w:val="13"/>
        <w:spacing w:before="0" w:after="0" w:line="240" w:lineRule="auto"/>
        <w:ind w:firstLine="338" w:firstLineChars="199"/>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pPr>
        <w:pStyle w:val="13"/>
        <w:spacing w:before="0" w:after="0" w:line="240" w:lineRule="auto"/>
        <w:ind w:firstLine="336" w:firstLineChars="198"/>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pPr>
        <w:pStyle w:val="13"/>
        <w:spacing w:before="0" w:after="0" w:line="240" w:lineRule="auto"/>
        <w:ind w:firstLine="338" w:firstLineChars="199"/>
        <w:jc w:val="both"/>
        <w:rPr>
          <w:spacing w:val="10"/>
          <w:kern w:val="2"/>
          <w:sz w:val="15"/>
          <w:szCs w:val="15"/>
        </w:rPr>
      </w:pPr>
      <w:r>
        <w:rPr>
          <w:rFonts w:hint="eastAsia"/>
          <w:spacing w:val="10"/>
          <w:kern w:val="2"/>
          <w:sz w:val="15"/>
          <w:szCs w:val="15"/>
        </w:rPr>
        <w:t>本风险等级为南银理财风险评级结果，该产品通过代理销售机构渠道销售的，理财产品评级应当以代理销售机构最终披露的评级结果为准。您需充分认识投资风险，谨慎投资。</w:t>
      </w:r>
    </w:p>
    <w:p>
      <w:pPr>
        <w:pStyle w:val="13"/>
        <w:spacing w:before="0" w:after="0" w:line="240" w:lineRule="auto"/>
        <w:ind w:firstLine="340" w:firstLineChars="200"/>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pPr>
        <w:pStyle w:val="13"/>
        <w:numPr>
          <w:ilvl w:val="0"/>
          <w:numId w:val="5"/>
        </w:numPr>
        <w:spacing w:before="0" w:after="0" w:line="240" w:lineRule="auto"/>
        <w:ind w:firstLine="337" w:firstLineChars="198"/>
        <w:jc w:val="both"/>
        <w:rPr>
          <w:b/>
          <w:bCs/>
          <w:spacing w:val="10"/>
          <w:kern w:val="2"/>
          <w:sz w:val="15"/>
          <w:szCs w:val="15"/>
        </w:rPr>
      </w:pPr>
      <w:r>
        <w:rPr>
          <w:rFonts w:hint="eastAsia"/>
          <w:b/>
          <w:bCs/>
          <w:spacing w:val="10"/>
          <w:kern w:val="2"/>
          <w:sz w:val="15"/>
          <w:szCs w:val="15"/>
        </w:rPr>
        <w:t>个人投资者风险承受能力等级与适合购买的理财产品说明</w:t>
      </w:r>
    </w:p>
    <w:p>
      <w:pPr>
        <w:pStyle w:val="13"/>
        <w:spacing w:before="0" w:after="0" w:line="240" w:lineRule="auto"/>
        <w:ind w:firstLine="337" w:firstLineChars="198"/>
        <w:jc w:val="both"/>
        <w:rPr>
          <w:b/>
          <w:bCs/>
          <w:spacing w:val="10"/>
          <w:kern w:val="2"/>
          <w:sz w:val="15"/>
          <w:szCs w:val="15"/>
        </w:rPr>
      </w:pPr>
    </w:p>
    <w:p>
      <w:pPr>
        <w:pStyle w:val="13"/>
        <w:spacing w:before="0" w:after="0" w:line="240" w:lineRule="auto"/>
        <w:ind w:firstLine="337" w:firstLineChars="198"/>
        <w:jc w:val="both"/>
        <w:rPr>
          <w:b/>
          <w:bCs/>
          <w:spacing w:val="10"/>
          <w:kern w:val="2"/>
          <w:sz w:val="15"/>
          <w:szCs w:val="15"/>
        </w:rPr>
      </w:pPr>
    </w:p>
    <w:p>
      <w:pPr>
        <w:pStyle w:val="13"/>
        <w:spacing w:before="0" w:after="0" w:line="240" w:lineRule="auto"/>
        <w:ind w:firstLine="337" w:firstLineChars="198"/>
        <w:jc w:val="both"/>
        <w:rPr>
          <w:b/>
          <w:bCs/>
          <w:spacing w:val="10"/>
          <w:kern w:val="2"/>
          <w:sz w:val="15"/>
          <w:szCs w:val="15"/>
        </w:rPr>
      </w:pPr>
    </w:p>
    <w:tbl>
      <w:tblPr>
        <w:tblStyle w:val="14"/>
        <w:tblW w:w="5796" w:type="dxa"/>
        <w:jc w:val="center"/>
        <w:tblLayout w:type="fixed"/>
        <w:tblCellMar>
          <w:top w:w="0" w:type="dxa"/>
          <w:left w:w="108" w:type="dxa"/>
          <w:bottom w:w="0" w:type="dxa"/>
          <w:right w:w="108" w:type="dxa"/>
        </w:tblCellMar>
      </w:tblPr>
      <w:tblGrid>
        <w:gridCol w:w="1866"/>
        <w:gridCol w:w="741"/>
        <w:gridCol w:w="816"/>
        <w:gridCol w:w="816"/>
        <w:gridCol w:w="816"/>
        <w:gridCol w:w="741"/>
      </w:tblGrid>
      <w:tr>
        <w:trPr>
          <w:trHeight w:val="178" w:hRule="atLeast"/>
          <w:jc w:val="center"/>
        </w:trPr>
        <w:tc>
          <w:tcPr>
            <w:tcW w:w="1866" w:type="dxa"/>
            <w:vMerge w:val="restart"/>
            <w:tcBorders>
              <w:top w:val="single" w:color="auto" w:sz="4" w:space="0"/>
              <w:left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个人投资者风险承受能力</w:t>
            </w:r>
          </w:p>
          <w:p>
            <w:pPr>
              <w:widowControl/>
              <w:snapToGrid w:val="0"/>
              <w:jc w:val="center"/>
              <w:rPr>
                <w:rFonts w:ascii="宋体" w:hAnsi="宋体" w:cs="宋体"/>
                <w:kern w:val="0"/>
                <w:sz w:val="15"/>
                <w:szCs w:val="15"/>
              </w:rPr>
            </w:pPr>
            <w:r>
              <w:rPr>
                <w:rFonts w:hint="eastAsia" w:ascii="宋体" w:hAnsi="宋体" w:cs="宋体"/>
                <w:kern w:val="0"/>
                <w:sz w:val="15"/>
                <w:szCs w:val="15"/>
              </w:rPr>
              <w:t>等级</w:t>
            </w:r>
          </w:p>
        </w:tc>
        <w:tc>
          <w:tcPr>
            <w:tcW w:w="3930" w:type="dxa"/>
            <w:gridSpan w:val="5"/>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南银理财理财产品风险等级</w:t>
            </w:r>
          </w:p>
        </w:tc>
      </w:tr>
      <w:tr>
        <w:trPr>
          <w:trHeight w:val="735" w:hRule="atLeast"/>
          <w:jc w:val="center"/>
        </w:trPr>
        <w:tc>
          <w:tcPr>
            <w:tcW w:w="1866"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5"/>
                <w:szCs w:val="15"/>
              </w:rPr>
            </w:pPr>
          </w:p>
        </w:tc>
        <w:tc>
          <w:tcPr>
            <w:tcW w:w="741"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低风险</w:t>
            </w:r>
          </w:p>
          <w:p>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PR1</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中低风险</w:t>
            </w:r>
          </w:p>
          <w:p>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PR2</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中等风险</w:t>
            </w:r>
          </w:p>
          <w:p>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PR3</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中高风险</w:t>
            </w:r>
          </w:p>
          <w:p>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PR4</w:t>
            </w:r>
            <w:r>
              <w:rPr>
                <w:rFonts w:hint="eastAsia" w:ascii="宋体" w:hAnsi="宋体" w:cs="宋体"/>
                <w:kern w:val="0"/>
                <w:sz w:val="15"/>
                <w:szCs w:val="15"/>
              </w:rPr>
              <w:t>）</w:t>
            </w:r>
          </w:p>
        </w:tc>
        <w:tc>
          <w:tcPr>
            <w:tcW w:w="741"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高风险</w:t>
            </w:r>
          </w:p>
          <w:p>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PR5</w:t>
            </w:r>
            <w:r>
              <w:rPr>
                <w:rFonts w:hint="eastAsia" w:ascii="宋体" w:hAnsi="宋体" w:cs="宋体"/>
                <w:kern w:val="0"/>
                <w:sz w:val="15"/>
                <w:szCs w:val="15"/>
              </w:rPr>
              <w:t>）</w:t>
            </w:r>
          </w:p>
        </w:tc>
      </w:tr>
      <w:tr>
        <w:trPr>
          <w:trHeight w:val="270" w:hRule="atLeast"/>
          <w:jc w:val="center"/>
        </w:trPr>
        <w:tc>
          <w:tcPr>
            <w:tcW w:w="186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color="auto" w:sz="4" w:space="0"/>
              <w:right w:val="single" w:color="auto" w:sz="4" w:space="0"/>
            </w:tcBorders>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spacing w:val="10"/>
                <w:sz w:val="15"/>
                <w:szCs w:val="15"/>
              </w:rPr>
              <w:t>√</w:t>
            </w:r>
          </w:p>
        </w:tc>
      </w:tr>
      <w:tr>
        <w:trPr>
          <w:trHeight w:val="270" w:hRule="atLeast"/>
          <w:jc w:val="center"/>
        </w:trPr>
        <w:tc>
          <w:tcPr>
            <w:tcW w:w="1866"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shd w:val="clear" w:color="auto" w:fill="C0504D"/>
            <w:vAlign w:val="center"/>
          </w:tcPr>
          <w:p>
            <w:pPr>
              <w:widowControl/>
              <w:snapToGrid w:val="0"/>
              <w:jc w:val="center"/>
              <w:rPr>
                <w:rFonts w:ascii="宋体" w:hAnsi="宋体" w:cs="宋体"/>
                <w:kern w:val="0"/>
                <w:sz w:val="15"/>
                <w:szCs w:val="15"/>
              </w:rPr>
            </w:pPr>
            <w:r>
              <w:rPr>
                <w:rFonts w:hint="eastAsia"/>
                <w:spacing w:val="10"/>
                <w:sz w:val="15"/>
                <w:szCs w:val="15"/>
              </w:rPr>
              <w:t>×</w:t>
            </w:r>
          </w:p>
        </w:tc>
      </w:tr>
      <w:tr>
        <w:trPr>
          <w:trHeight w:val="270" w:hRule="atLeast"/>
          <w:jc w:val="center"/>
        </w:trPr>
        <w:tc>
          <w:tcPr>
            <w:tcW w:w="1866"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5"/>
                <w:szCs w:val="15"/>
              </w:rPr>
            </w:pPr>
            <w:r>
              <w:rPr>
                <w:rFonts w:hint="eastAsia"/>
                <w:bCs/>
                <w:spacing w:val="10"/>
                <w:sz w:val="15"/>
                <w:szCs w:val="15"/>
              </w:rPr>
              <w:t>中（三级）</w:t>
            </w:r>
          </w:p>
        </w:tc>
        <w:tc>
          <w:tcPr>
            <w:tcW w:w="741"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r>
      <w:tr>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中低（二级）</w:t>
            </w:r>
          </w:p>
        </w:tc>
        <w:tc>
          <w:tcPr>
            <w:tcW w:w="741"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r>
      <w:tr>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低（一级）</w:t>
            </w:r>
          </w:p>
        </w:tc>
        <w:tc>
          <w:tcPr>
            <w:tcW w:w="741"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r>
    </w:tbl>
    <w:p>
      <w:pPr>
        <w:pStyle w:val="13"/>
        <w:spacing w:before="0" w:after="0" w:line="240" w:lineRule="auto"/>
        <w:ind w:firstLine="340" w:firstLineChars="200"/>
        <w:jc w:val="center"/>
        <w:rPr>
          <w:b/>
          <w:spacing w:val="10"/>
          <w:kern w:val="2"/>
          <w:sz w:val="15"/>
          <w:szCs w:val="15"/>
        </w:rPr>
      </w:pPr>
      <w:r>
        <w:rPr>
          <w:rFonts w:hint="eastAsia"/>
          <w:spacing w:val="10"/>
          <w:kern w:val="2"/>
          <w:sz w:val="15"/>
          <w:szCs w:val="15"/>
        </w:rPr>
        <w:t>备注：√代表可以购买；×代表不能购买。</w:t>
      </w:r>
    </w:p>
    <w:p>
      <w:pPr>
        <w:pStyle w:val="13"/>
        <w:spacing w:before="0" w:after="0" w:line="240" w:lineRule="auto"/>
        <w:ind w:firstLine="340" w:firstLineChars="200"/>
        <w:rPr>
          <w:b/>
          <w:spacing w:val="10"/>
          <w:kern w:val="2"/>
          <w:sz w:val="15"/>
          <w:szCs w:val="15"/>
        </w:rPr>
      </w:pPr>
      <w:r>
        <w:rPr>
          <w:rFonts w:hint="eastAsia"/>
          <w:b/>
          <w:spacing w:val="10"/>
          <w:kern w:val="2"/>
          <w:sz w:val="15"/>
          <w:szCs w:val="15"/>
        </w:rPr>
        <w:t>第五条 理财产品信息披露的方式、渠道和频率说明</w:t>
      </w:r>
    </w:p>
    <w:p>
      <w:pPr>
        <w:pStyle w:val="13"/>
        <w:spacing w:before="0" w:after="0" w:line="240" w:lineRule="auto"/>
        <w:ind w:firstLine="340" w:firstLineChars="20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pPr>
        <w:pStyle w:val="13"/>
        <w:spacing w:before="0" w:after="0" w:line="240" w:lineRule="auto"/>
        <w:ind w:firstLine="340" w:firstLineChars="20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pPr>
        <w:pStyle w:val="13"/>
        <w:spacing w:before="0" w:after="0" w:line="240" w:lineRule="auto"/>
        <w:ind w:firstLine="340" w:firstLineChars="200"/>
        <w:rPr>
          <w:bCs/>
          <w:spacing w:val="10"/>
          <w:kern w:val="2"/>
          <w:sz w:val="15"/>
          <w:szCs w:val="15"/>
        </w:rPr>
      </w:pPr>
      <w:r>
        <w:rPr>
          <w:rFonts w:hint="eastAsia"/>
          <w:b/>
          <w:spacing w:val="10"/>
          <w:kern w:val="2"/>
          <w:sz w:val="15"/>
          <w:szCs w:val="15"/>
        </w:rPr>
        <w:t>第六条 投资者信息保护</w:t>
      </w:r>
    </w:p>
    <w:p>
      <w:pPr>
        <w:pStyle w:val="13"/>
        <w:spacing w:before="0" w:after="0" w:line="240" w:lineRule="auto"/>
        <w:ind w:firstLine="340" w:firstLineChars="20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pPr>
        <w:pStyle w:val="13"/>
        <w:spacing w:before="0" w:after="0" w:line="240" w:lineRule="auto"/>
        <w:ind w:firstLine="340" w:firstLineChars="200"/>
        <w:rPr>
          <w:b/>
          <w:spacing w:val="10"/>
          <w:kern w:val="2"/>
          <w:sz w:val="15"/>
          <w:szCs w:val="15"/>
        </w:rPr>
      </w:pPr>
      <w:r>
        <w:rPr>
          <w:rFonts w:hint="eastAsia"/>
          <w:b/>
          <w:spacing w:val="10"/>
          <w:kern w:val="2"/>
          <w:sz w:val="15"/>
          <w:szCs w:val="15"/>
        </w:rPr>
        <w:t>第七条 投资者投诉的方式和程序</w:t>
      </w:r>
    </w:p>
    <w:p>
      <w:pPr>
        <w:pStyle w:val="13"/>
        <w:spacing w:before="0" w:after="0" w:line="240" w:lineRule="auto"/>
        <w:ind w:firstLine="340" w:firstLineChars="20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pPr>
        <w:pStyle w:val="13"/>
        <w:spacing w:before="0" w:after="0" w:line="240" w:lineRule="auto"/>
        <w:ind w:firstLine="340" w:firstLineChars="200"/>
        <w:rPr>
          <w:b/>
          <w:spacing w:val="10"/>
          <w:kern w:val="2"/>
          <w:sz w:val="15"/>
          <w:szCs w:val="15"/>
        </w:rPr>
      </w:pPr>
      <w:r>
        <w:rPr>
          <w:rFonts w:hint="eastAsia"/>
          <w:b/>
          <w:spacing w:val="10"/>
          <w:kern w:val="2"/>
          <w:sz w:val="15"/>
          <w:szCs w:val="15"/>
        </w:rPr>
        <w:t>第八条 联系方式</w:t>
      </w:r>
    </w:p>
    <w:p>
      <w:pPr>
        <w:pStyle w:val="13"/>
        <w:spacing w:before="0" w:after="0" w:line="240" w:lineRule="auto"/>
        <w:ind w:firstLine="340" w:firstLineChars="200"/>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pPr>
        <w:pStyle w:val="13"/>
        <w:spacing w:before="0" w:after="0" w:line="240" w:lineRule="auto"/>
        <w:ind w:firstLine="340" w:firstLineChars="200"/>
        <w:rPr>
          <w:bCs/>
          <w:spacing w:val="10"/>
          <w:kern w:val="2"/>
          <w:sz w:val="15"/>
          <w:szCs w:val="15"/>
        </w:rPr>
      </w:pPr>
      <w:r>
        <w:rPr>
          <w:rFonts w:hint="eastAsia"/>
          <w:bCs/>
          <w:spacing w:val="10"/>
          <w:kern w:val="2"/>
          <w:sz w:val="15"/>
          <w:szCs w:val="15"/>
        </w:rPr>
        <w:t>（一）南银理财联系方式</w:t>
      </w:r>
    </w:p>
    <w:p>
      <w:pPr>
        <w:pStyle w:val="13"/>
        <w:spacing w:before="0" w:after="0" w:line="240" w:lineRule="auto"/>
        <w:ind w:left="340" w:firstLine="0"/>
        <w:rPr>
          <w:bCs/>
          <w:spacing w:val="10"/>
          <w:kern w:val="2"/>
          <w:sz w:val="15"/>
          <w:szCs w:val="15"/>
        </w:rPr>
      </w:pPr>
      <w:r>
        <w:rPr>
          <w:rFonts w:hint="eastAsia"/>
          <w:bCs/>
          <w:spacing w:val="10"/>
          <w:kern w:val="2"/>
          <w:sz w:val="15"/>
          <w:szCs w:val="15"/>
        </w:rPr>
        <w:t>地址：南京市建邺区庐山路2</w:t>
      </w:r>
      <w:r>
        <w:rPr>
          <w:bCs/>
          <w:spacing w:val="10"/>
          <w:kern w:val="2"/>
          <w:sz w:val="15"/>
          <w:szCs w:val="15"/>
        </w:rPr>
        <w:t>42</w:t>
      </w:r>
      <w:r>
        <w:rPr>
          <w:rFonts w:hint="eastAsia"/>
          <w:bCs/>
          <w:spacing w:val="10"/>
          <w:kern w:val="2"/>
          <w:sz w:val="15"/>
          <w:szCs w:val="15"/>
        </w:rPr>
        <w:t>号2号楼1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pPr>
        <w:pStyle w:val="13"/>
        <w:spacing w:before="0" w:after="0" w:line="240" w:lineRule="auto"/>
        <w:ind w:left="340" w:firstLine="0"/>
        <w:rPr>
          <w:bCs/>
          <w:spacing w:val="10"/>
          <w:kern w:val="2"/>
          <w:sz w:val="15"/>
          <w:szCs w:val="15"/>
        </w:rPr>
      </w:pPr>
      <w:r>
        <w:rPr>
          <w:rFonts w:hint="eastAsia"/>
          <w:bCs/>
          <w:spacing w:val="10"/>
          <w:kern w:val="2"/>
          <w:sz w:val="15"/>
          <w:szCs w:val="15"/>
        </w:rPr>
        <w:t xml:space="preserve">电话：4001195302 </w:t>
      </w:r>
    </w:p>
    <w:p>
      <w:pPr>
        <w:pStyle w:val="13"/>
        <w:spacing w:before="0" w:after="0" w:line="240" w:lineRule="auto"/>
        <w:ind w:firstLine="340" w:firstLineChars="200"/>
        <w:rPr>
          <w:bCs/>
          <w:spacing w:val="10"/>
          <w:kern w:val="2"/>
          <w:sz w:val="15"/>
          <w:szCs w:val="15"/>
        </w:rPr>
      </w:pPr>
      <w:r>
        <w:rPr>
          <w:rFonts w:hint="eastAsia"/>
          <w:bCs/>
          <w:spacing w:val="10"/>
          <w:kern w:val="2"/>
          <w:sz w:val="15"/>
          <w:szCs w:val="15"/>
        </w:rPr>
        <w:t>（二）销售机构联系方式</w:t>
      </w:r>
    </w:p>
    <w:p>
      <w:pPr>
        <w:pStyle w:val="13"/>
        <w:spacing w:before="0" w:after="0" w:line="240" w:lineRule="auto"/>
        <w:ind w:firstLine="340" w:firstLineChars="200"/>
        <w:rPr>
          <w:bCs/>
          <w:spacing w:val="10"/>
          <w:kern w:val="2"/>
          <w:sz w:val="15"/>
          <w:szCs w:val="15"/>
        </w:rPr>
      </w:pPr>
      <w:r>
        <w:rPr>
          <w:rFonts w:hint="eastAsia"/>
          <w:bCs/>
          <w:spacing w:val="10"/>
          <w:kern w:val="2"/>
          <w:sz w:val="15"/>
          <w:szCs w:val="15"/>
        </w:rPr>
        <w:t>官方网站：www.njcb.com.cn</w:t>
      </w:r>
    </w:p>
    <w:p>
      <w:pPr>
        <w:pStyle w:val="13"/>
        <w:spacing w:before="0" w:after="0" w:line="240" w:lineRule="auto"/>
        <w:ind w:firstLine="340" w:firstLineChars="200"/>
        <w:rPr>
          <w:b/>
          <w:spacing w:val="10"/>
          <w:kern w:val="2"/>
          <w:sz w:val="15"/>
          <w:szCs w:val="15"/>
          <w:u w:val="single"/>
        </w:rPr>
      </w:pPr>
      <w:r>
        <w:rPr>
          <w:rFonts w:hint="eastAsia"/>
          <w:bCs/>
          <w:spacing w:val="10"/>
          <w:kern w:val="2"/>
          <w:sz w:val="15"/>
          <w:szCs w:val="15"/>
        </w:rPr>
        <w:t>全国统一客服热线：95302</w:t>
      </w:r>
    </w:p>
    <w:p>
      <w:pPr>
        <w:pStyle w:val="13"/>
        <w:spacing w:before="0" w:after="0" w:line="240" w:lineRule="auto"/>
        <w:ind w:firstLine="340" w:firstLineChars="200"/>
        <w:rPr>
          <w:b/>
          <w:spacing w:val="10"/>
          <w:kern w:val="2"/>
          <w:sz w:val="15"/>
          <w:szCs w:val="15"/>
        </w:rPr>
      </w:pPr>
    </w:p>
    <w:p>
      <w:pPr>
        <w:pStyle w:val="13"/>
        <w:spacing w:before="0" w:after="0" w:line="240" w:lineRule="auto"/>
        <w:ind w:firstLine="0"/>
        <w:jc w:val="both"/>
        <w:rPr>
          <w:b/>
          <w:spacing w:val="10"/>
          <w:kern w:val="2"/>
          <w:sz w:val="15"/>
          <w:szCs w:val="15"/>
          <w:u w:val="single"/>
        </w:rPr>
      </w:pPr>
    </w:p>
    <w:p>
      <w:pPr>
        <w:pStyle w:val="13"/>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pPr>
        <w:ind w:firstLine="340" w:firstLineChars="200"/>
        <w:rPr>
          <w:b/>
          <w:spacing w:val="10"/>
          <w:sz w:val="15"/>
          <w:szCs w:val="15"/>
          <w:u w:val="single"/>
        </w:rPr>
        <w:sectPr>
          <w:pgSz w:w="11906" w:h="16838"/>
          <w:pgMar w:top="720" w:right="720" w:bottom="720" w:left="720" w:header="851" w:footer="992" w:gutter="0"/>
          <w:cols w:space="720" w:num="1"/>
          <w:docGrid w:type="lines" w:linePitch="312" w:charSpace="0"/>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rPr>
          <w:rFonts w:eastAsia="黑体"/>
          <w:b/>
          <w:bCs/>
          <w:sz w:val="24"/>
          <w:szCs w:val="15"/>
        </w:rPr>
      </w:pPr>
    </w:p>
    <w:p>
      <w:pPr>
        <w:spacing w:line="0" w:lineRule="atLeast"/>
        <w:jc w:val="center"/>
        <w:rPr>
          <w:rFonts w:eastAsia="黑体"/>
          <w:b/>
          <w:bCs/>
          <w:sz w:val="24"/>
          <w:szCs w:val="15"/>
        </w:rPr>
      </w:pPr>
    </w:p>
    <w:p>
      <w:pPr>
        <w:spacing w:line="0" w:lineRule="atLeast"/>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r>
        <w:rPr>
          <w:rFonts w:eastAsia="黑体"/>
          <w:b/>
          <w:bCs/>
          <w:sz w:val="24"/>
          <w:szCs w:val="15"/>
        </w:rPr>
        <w:t>理财产品销售协议书</w:t>
      </w:r>
    </w:p>
    <w:p>
      <w:pPr>
        <w:tabs>
          <w:tab w:val="left" w:pos="0"/>
        </w:tabs>
        <w:jc w:val="center"/>
      </w:pPr>
    </w:p>
    <w:p>
      <w:pPr>
        <w:tabs>
          <w:tab w:val="left" w:pos="0"/>
        </w:tabs>
        <w:jc w:val="center"/>
      </w:pPr>
    </w:p>
    <w:p>
      <w:pPr>
        <w:tabs>
          <w:tab w:val="left" w:pos="0"/>
        </w:tabs>
        <w:jc w:val="center"/>
      </w:pPr>
    </w:p>
    <w:p>
      <w:pPr>
        <w:tabs>
          <w:tab w:val="left" w:pos="0"/>
        </w:tabs>
        <w:jc w:val="center"/>
      </w:pPr>
    </w:p>
    <w:p>
      <w:pPr>
        <w:tabs>
          <w:tab w:val="left" w:pos="0"/>
        </w:tabs>
        <w:jc w:val="center"/>
      </w:pPr>
    </w:p>
    <w:p>
      <w:pPr>
        <w:tabs>
          <w:tab w:val="left" w:pos="0"/>
        </w:tabs>
        <w:jc w:val="center"/>
      </w:pPr>
    </w:p>
    <w:p>
      <w:pPr>
        <w:tabs>
          <w:tab w:val="left" w:pos="0"/>
        </w:tabs>
        <w:jc w:val="center"/>
      </w:pPr>
    </w:p>
    <w:p>
      <w:pPr>
        <w:tabs>
          <w:tab w:val="left" w:pos="0"/>
        </w:tabs>
        <w:jc w:val="center"/>
      </w:pPr>
    </w:p>
    <w:p>
      <w:pPr>
        <w:tabs>
          <w:tab w:val="left" w:pos="0"/>
        </w:tabs>
        <w:jc w:val="center"/>
      </w:pPr>
      <w:r>
        <w:t>编制单位：</w:t>
      </w:r>
      <w:r>
        <w:rPr>
          <w:u w:val="single"/>
        </w:rPr>
        <w:t>南银理财有限责任公司</w:t>
      </w:r>
    </w:p>
    <w:p>
      <w:pPr>
        <w:spacing w:line="0" w:lineRule="atLeast"/>
        <w:ind w:firstLine="4200" w:firstLineChars="2000"/>
        <w:rPr>
          <w:rFonts w:eastAsia="黑体"/>
          <w:b/>
          <w:bCs/>
          <w:sz w:val="24"/>
          <w:szCs w:val="15"/>
        </w:rPr>
      </w:pPr>
      <w:r>
        <w:t>版次号：</w:t>
      </w:r>
      <w:r>
        <w:rPr>
          <w:rFonts w:hint="eastAsia"/>
          <w:u w:val="single"/>
        </w:rPr>
        <w:t>2021第2</w:t>
      </w:r>
      <w:r>
        <w:rPr>
          <w:u w:val="single"/>
        </w:rPr>
        <w:t>版</w:t>
      </w:r>
      <w:r>
        <w:br w:type="page"/>
      </w:r>
    </w:p>
    <w:p>
      <w:pPr>
        <w:adjustRightInd w:val="0"/>
        <w:snapToGrid w:val="0"/>
        <w:spacing w:line="0" w:lineRule="atLeast"/>
        <w:rPr>
          <w:b/>
          <w:bCs/>
        </w:rPr>
      </w:pPr>
      <w:r>
        <w:rPr>
          <w:b/>
          <w:bCs/>
        </w:rPr>
        <w:t>风险提示：</w:t>
      </w:r>
    </w:p>
    <w:p>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pPr>
        <w:tabs>
          <w:tab w:val="left" w:pos="7920"/>
          <w:tab w:val="left" w:pos="8100"/>
        </w:tabs>
        <w:spacing w:line="0" w:lineRule="atLeast"/>
        <w:rPr>
          <w:b/>
          <w:bCs/>
        </w:rPr>
      </w:pPr>
    </w:p>
    <w:p>
      <w:pPr>
        <w:spacing w:line="0" w:lineRule="atLeast"/>
        <w:jc w:val="center"/>
        <w:rPr>
          <w:rFonts w:eastAsia="黑体"/>
          <w:b/>
          <w:bCs/>
          <w:sz w:val="24"/>
          <w:szCs w:val="15"/>
        </w:rPr>
      </w:pPr>
    </w:p>
    <w:p>
      <w:pPr>
        <w:spacing w:line="0" w:lineRule="atLeast"/>
        <w:jc w:val="center"/>
        <w:rPr>
          <w:rFonts w:eastAsia="黑体"/>
          <w:b/>
          <w:bCs/>
          <w:sz w:val="24"/>
          <w:szCs w:val="15"/>
        </w:rPr>
      </w:pPr>
      <w:r>
        <w:rPr>
          <w:rFonts w:eastAsia="黑体"/>
          <w:b/>
          <w:bCs/>
          <w:sz w:val="24"/>
          <w:szCs w:val="15"/>
        </w:rPr>
        <w:t>理财产品销售协议书</w:t>
      </w:r>
    </w:p>
    <w:p>
      <w:pPr>
        <w:spacing w:line="200" w:lineRule="exact"/>
        <w:ind w:firstLine="300" w:firstLineChars="200"/>
        <w:rPr>
          <w:rFonts w:eastAsia="方正细黑一简体"/>
          <w:sz w:val="15"/>
          <w:szCs w:val="15"/>
        </w:rPr>
      </w:pPr>
    </w:p>
    <w:p>
      <w:pPr>
        <w:spacing w:line="200" w:lineRule="exact"/>
        <w:ind w:firstLine="300" w:firstLineChars="200"/>
        <w:rPr>
          <w:rFonts w:eastAsia="方正细黑一简体"/>
          <w:sz w:val="15"/>
          <w:szCs w:val="15"/>
        </w:rPr>
      </w:pPr>
      <w:r>
        <w:rPr>
          <w:rFonts w:eastAsia="方正细黑一简体"/>
          <w:sz w:val="15"/>
          <w:szCs w:val="15"/>
        </w:rPr>
        <w:t>经甲方（南银理财有限责任公司，以下简称“南银理财”、“</w:t>
      </w:r>
      <w:r>
        <w:rPr>
          <w:rFonts w:eastAsia="方正细黑一简体"/>
          <w:color w:val="3D3D3D"/>
          <w:sz w:val="15"/>
          <w:szCs w:val="15"/>
        </w:rPr>
        <w:t>管理人”</w:t>
      </w:r>
      <w:r>
        <w:rPr>
          <w:rFonts w:hint="eastAsia" w:eastAsia="方正细黑一简体"/>
          <w:color w:val="3D3D3D"/>
          <w:sz w:val="15"/>
          <w:szCs w:val="15"/>
        </w:rPr>
        <w:t>、“产品管理人”</w:t>
      </w:r>
      <w:r>
        <w:rPr>
          <w:rFonts w:eastAsia="方正细黑一简体"/>
          <w:color w:val="3D3D3D"/>
          <w:sz w:val="15"/>
          <w:szCs w:val="15"/>
        </w:rPr>
        <w:t>或“理财产品管理人</w:t>
      </w:r>
      <w:r>
        <w:rPr>
          <w:rFonts w:eastAsia="方正细黑一简体"/>
          <w:sz w:val="15"/>
          <w:szCs w:val="15"/>
        </w:rPr>
        <w:t>”）与乙方（</w:t>
      </w:r>
      <w:r>
        <w:rPr>
          <w:rFonts w:hint="eastAsia" w:eastAsia="方正细黑一简体"/>
          <w:sz w:val="15"/>
          <w:szCs w:val="15"/>
        </w:rPr>
        <w:t>以下简称“</w:t>
      </w:r>
      <w:r>
        <w:rPr>
          <w:rFonts w:eastAsia="方正细黑一简体"/>
          <w:sz w:val="15"/>
          <w:szCs w:val="15"/>
        </w:rPr>
        <w:t>投资者</w:t>
      </w:r>
      <w:r>
        <w:rPr>
          <w:rFonts w:hint="eastAsia" w:eastAsia="方正细黑一简体"/>
          <w:sz w:val="15"/>
          <w:szCs w:val="15"/>
        </w:rPr>
        <w:t>”</w:t>
      </w:r>
      <w:r>
        <w:rPr>
          <w:rFonts w:eastAsia="方正细黑一简体"/>
          <w:sz w:val="15"/>
          <w:szCs w:val="15"/>
        </w:rPr>
        <w:t>）双方平等友好协商，本着平等自愿、诚实守信的原则，就乙方购买甲方管理的理财产品的有关事宜达成协议如下：</w:t>
      </w:r>
    </w:p>
    <w:p>
      <w:pPr>
        <w:numPr>
          <w:ilvl w:val="0"/>
          <w:numId w:val="6"/>
        </w:numPr>
        <w:spacing w:line="200" w:lineRule="exact"/>
        <w:ind w:firstLine="340" w:firstLineChars="200"/>
        <w:rPr>
          <w:b/>
          <w:bCs/>
          <w:spacing w:val="10"/>
          <w:sz w:val="15"/>
          <w:szCs w:val="15"/>
        </w:rPr>
      </w:pPr>
      <w:r>
        <w:rPr>
          <w:b/>
          <w:bCs/>
          <w:spacing w:val="10"/>
          <w:sz w:val="15"/>
          <w:szCs w:val="15"/>
        </w:rPr>
        <w:t>名词释义</w:t>
      </w:r>
    </w:p>
    <w:p>
      <w:pPr>
        <w:pStyle w:val="60"/>
        <w:ind w:firstLine="340"/>
        <w:rPr>
          <w:spacing w:val="10"/>
          <w:sz w:val="15"/>
          <w:szCs w:val="15"/>
        </w:rPr>
      </w:pPr>
      <w:r>
        <w:rPr>
          <w:spacing w:val="10"/>
          <w:sz w:val="15"/>
          <w:szCs w:val="15"/>
        </w:rPr>
        <w:t>本协议项下用词与对应期次的《理财产品说明书》中相关用词含义一致，本协议另有说明的除外。</w:t>
      </w:r>
    </w:p>
    <w:p>
      <w:pPr>
        <w:numPr>
          <w:ilvl w:val="0"/>
          <w:numId w:val="6"/>
        </w:numPr>
        <w:spacing w:line="200" w:lineRule="exact"/>
        <w:ind w:firstLine="340" w:firstLineChars="200"/>
        <w:rPr>
          <w:b/>
          <w:bCs/>
          <w:spacing w:val="10"/>
          <w:sz w:val="15"/>
          <w:szCs w:val="15"/>
        </w:rPr>
      </w:pPr>
      <w:r>
        <w:rPr>
          <w:rFonts w:hint="eastAsia"/>
          <w:b/>
          <w:bCs/>
          <w:spacing w:val="10"/>
          <w:sz w:val="15"/>
          <w:szCs w:val="15"/>
        </w:rPr>
        <w:t>销售机构</w:t>
      </w:r>
    </w:p>
    <w:p>
      <w:pPr>
        <w:spacing w:line="200" w:lineRule="exact"/>
        <w:ind w:firstLine="340" w:firstLineChars="20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pPr>
        <w:numPr>
          <w:ilvl w:val="0"/>
          <w:numId w:val="6"/>
        </w:numPr>
        <w:spacing w:line="200" w:lineRule="exact"/>
        <w:ind w:firstLine="340" w:firstLineChars="200"/>
        <w:rPr>
          <w:b/>
          <w:bCs/>
          <w:spacing w:val="10"/>
          <w:sz w:val="15"/>
          <w:szCs w:val="15"/>
        </w:rPr>
      </w:pPr>
      <w:r>
        <w:rPr>
          <w:b/>
          <w:bCs/>
          <w:spacing w:val="10"/>
          <w:sz w:val="15"/>
          <w:szCs w:val="15"/>
        </w:rPr>
        <w:t>甲方的权利与义务：</w:t>
      </w:r>
    </w:p>
    <w:p>
      <w:pPr>
        <w:numPr>
          <w:ilvl w:val="0"/>
          <w:numId w:val="7"/>
        </w:numPr>
        <w:spacing w:line="200" w:lineRule="exact"/>
        <w:ind w:firstLine="340" w:firstLineChars="200"/>
        <w:rPr>
          <w:spacing w:val="10"/>
          <w:sz w:val="15"/>
          <w:szCs w:val="15"/>
        </w:rPr>
      </w:pPr>
      <w:r>
        <w:rPr>
          <w:spacing w:val="10"/>
          <w:sz w:val="15"/>
          <w:szCs w:val="15"/>
        </w:rPr>
        <w:t>甲方应当履行恪尽职守、勤勉尽责、诚实守信、有效管理的义务。</w:t>
      </w:r>
    </w:p>
    <w:p>
      <w:pPr>
        <w:numPr>
          <w:ilvl w:val="0"/>
          <w:numId w:val="7"/>
        </w:numPr>
        <w:spacing w:line="200" w:lineRule="exact"/>
        <w:ind w:firstLine="340" w:firstLineChars="200"/>
        <w:rPr>
          <w:spacing w:val="10"/>
          <w:sz w:val="15"/>
          <w:szCs w:val="15"/>
        </w:rPr>
      </w:pPr>
      <w:r>
        <w:rPr>
          <w:rFonts w:hint="eastAsia"/>
          <w:spacing w:val="10"/>
          <w:sz w:val="15"/>
          <w:szCs w:val="15"/>
        </w:rPr>
        <w:t>甲方应当按照理财产品销售文件的约定向投资者分配收益。</w:t>
      </w:r>
    </w:p>
    <w:p>
      <w:pPr>
        <w:numPr>
          <w:ilvl w:val="0"/>
          <w:numId w:val="7"/>
        </w:numPr>
        <w:spacing w:line="200" w:lineRule="exact"/>
        <w:ind w:firstLine="340" w:firstLineChars="200"/>
        <w:rPr>
          <w:spacing w:val="10"/>
          <w:sz w:val="15"/>
          <w:szCs w:val="15"/>
        </w:rPr>
      </w:pPr>
      <w:r>
        <w:rPr>
          <w:rFonts w:hint="eastAsia"/>
          <w:spacing w:val="10"/>
          <w:sz w:val="15"/>
          <w:szCs w:val="15"/>
        </w:rPr>
        <w:t>甲方应当按照法律法规、理财产品销售文件的约定履行信息披露义务。</w:t>
      </w:r>
    </w:p>
    <w:p>
      <w:pPr>
        <w:numPr>
          <w:ilvl w:val="0"/>
          <w:numId w:val="7"/>
        </w:numPr>
        <w:spacing w:line="200" w:lineRule="exact"/>
        <w:ind w:firstLine="340" w:firstLineChars="200"/>
        <w:rPr>
          <w:spacing w:val="10"/>
          <w:sz w:val="15"/>
          <w:szCs w:val="15"/>
        </w:rPr>
      </w:pPr>
      <w:r>
        <w:rPr>
          <w:rFonts w:hint="eastAsia"/>
          <w:spacing w:val="10"/>
          <w:sz w:val="15"/>
          <w:szCs w:val="15"/>
        </w:rPr>
        <w:t>甲方应当确保理财业务与其他业务相分离，理财产品之间相分离，理财业务操作与其他业务操作相分离。</w:t>
      </w:r>
    </w:p>
    <w:p>
      <w:pPr>
        <w:numPr>
          <w:ilvl w:val="0"/>
          <w:numId w:val="7"/>
        </w:numPr>
        <w:spacing w:line="200" w:lineRule="exact"/>
        <w:ind w:firstLine="340" w:firstLineChars="20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pPr>
        <w:numPr>
          <w:ilvl w:val="0"/>
          <w:numId w:val="7"/>
        </w:numPr>
        <w:spacing w:line="200" w:lineRule="exact"/>
        <w:ind w:firstLine="340" w:firstLineChars="20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pPr>
        <w:numPr>
          <w:ilvl w:val="0"/>
          <w:numId w:val="7"/>
        </w:numPr>
        <w:spacing w:line="200" w:lineRule="exact"/>
        <w:ind w:firstLine="340" w:firstLineChars="20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pPr>
        <w:numPr>
          <w:ilvl w:val="0"/>
          <w:numId w:val="7"/>
        </w:numPr>
        <w:spacing w:line="200" w:lineRule="exact"/>
        <w:ind w:firstLine="340" w:firstLineChars="200"/>
        <w:rPr>
          <w:spacing w:val="10"/>
          <w:sz w:val="15"/>
          <w:szCs w:val="15"/>
        </w:rPr>
      </w:pPr>
      <w:r>
        <w:rPr>
          <w:spacing w:val="10"/>
          <w:sz w:val="15"/>
          <w:szCs w:val="15"/>
        </w:rPr>
        <w:t>由于投资管理或者获取投资标的的需要，甲方有权决定以理财产品财产支付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pPr>
        <w:numPr>
          <w:ilvl w:val="0"/>
          <w:numId w:val="7"/>
        </w:numPr>
        <w:spacing w:line="200" w:lineRule="exact"/>
        <w:ind w:firstLine="340" w:firstLineChars="20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pPr>
        <w:numPr>
          <w:ilvl w:val="0"/>
          <w:numId w:val="7"/>
        </w:numPr>
        <w:spacing w:line="200" w:lineRule="exact"/>
        <w:ind w:firstLine="340" w:firstLineChars="20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pPr>
        <w:numPr>
          <w:ilvl w:val="0"/>
          <w:numId w:val="7"/>
        </w:numPr>
        <w:spacing w:line="200" w:lineRule="exact"/>
        <w:ind w:firstLine="300" w:firstLineChars="2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pPr>
        <w:numPr>
          <w:ilvl w:val="0"/>
          <w:numId w:val="7"/>
        </w:numPr>
        <w:spacing w:line="200" w:lineRule="exact"/>
        <w:ind w:firstLine="340" w:firstLineChars="20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pPr>
        <w:numPr>
          <w:ilvl w:val="0"/>
          <w:numId w:val="7"/>
        </w:numPr>
        <w:spacing w:line="200" w:lineRule="exact"/>
        <w:ind w:firstLine="340" w:firstLineChars="20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pPr>
        <w:numPr>
          <w:ilvl w:val="0"/>
          <w:numId w:val="7"/>
        </w:numPr>
        <w:spacing w:line="200" w:lineRule="exact"/>
        <w:ind w:firstLine="340" w:firstLineChars="200"/>
        <w:rPr>
          <w:spacing w:val="10"/>
          <w:sz w:val="15"/>
          <w:szCs w:val="15"/>
        </w:rPr>
      </w:pPr>
      <w:r>
        <w:rPr>
          <w:spacing w:val="10"/>
          <w:sz w:val="15"/>
          <w:szCs w:val="15"/>
        </w:rPr>
        <w:t>甲方有权根据本理财产品销售文件的约定提前终止或延长本理财产品的存续期限。</w:t>
      </w:r>
    </w:p>
    <w:p>
      <w:pPr>
        <w:numPr>
          <w:ilvl w:val="0"/>
          <w:numId w:val="7"/>
        </w:numPr>
        <w:spacing w:line="200" w:lineRule="exact"/>
        <w:ind w:firstLine="340" w:firstLineChars="200"/>
        <w:rPr>
          <w:spacing w:val="10"/>
          <w:sz w:val="15"/>
          <w:szCs w:val="15"/>
        </w:rPr>
      </w:pPr>
      <w:r>
        <w:rPr>
          <w:spacing w:val="10"/>
          <w:sz w:val="15"/>
          <w:szCs w:val="15"/>
        </w:rPr>
        <w:t>甲方有权调整本理财产品的认购或申购起点、单笔认购或申购上限等要素。</w:t>
      </w:r>
    </w:p>
    <w:p>
      <w:pPr>
        <w:numPr>
          <w:ilvl w:val="0"/>
          <w:numId w:val="7"/>
        </w:numPr>
        <w:spacing w:line="200" w:lineRule="exact"/>
        <w:ind w:firstLine="340" w:firstLineChars="200"/>
        <w:rPr>
          <w:spacing w:val="10"/>
          <w:sz w:val="15"/>
          <w:szCs w:val="15"/>
        </w:rPr>
      </w:pPr>
      <w:r>
        <w:rPr>
          <w:spacing w:val="10"/>
          <w:sz w:val="15"/>
          <w:szCs w:val="15"/>
        </w:rPr>
        <w:t>甲方有权根据相关规定及销售文件的约定，变更销售文件内容。</w:t>
      </w:r>
    </w:p>
    <w:p>
      <w:pPr>
        <w:numPr>
          <w:ilvl w:val="0"/>
          <w:numId w:val="7"/>
        </w:numPr>
        <w:spacing w:line="200" w:lineRule="exact"/>
        <w:ind w:firstLine="340" w:firstLineChars="20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pPr>
        <w:numPr>
          <w:ilvl w:val="0"/>
          <w:numId w:val="7"/>
        </w:numPr>
        <w:spacing w:line="200" w:lineRule="exact"/>
        <w:ind w:firstLine="340" w:firstLineChars="20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pPr>
        <w:numPr>
          <w:ilvl w:val="0"/>
          <w:numId w:val="7"/>
        </w:numPr>
        <w:spacing w:line="200" w:lineRule="exact"/>
        <w:ind w:firstLine="340" w:firstLineChars="20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pPr>
        <w:numPr>
          <w:ilvl w:val="0"/>
          <w:numId w:val="7"/>
        </w:numPr>
        <w:spacing w:line="200" w:lineRule="exact"/>
        <w:ind w:firstLine="340" w:firstLineChars="200"/>
        <w:rPr>
          <w:spacing w:val="10"/>
          <w:sz w:val="15"/>
          <w:szCs w:val="15"/>
        </w:rPr>
      </w:pPr>
      <w:r>
        <w:rPr>
          <w:spacing w:val="10"/>
          <w:sz w:val="15"/>
          <w:szCs w:val="15"/>
        </w:rPr>
        <w:t>甲方在此特别披露：</w:t>
      </w:r>
      <w:r>
        <w:rPr>
          <w:rFonts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p>
      <w:pPr>
        <w:numPr>
          <w:ilvl w:val="0"/>
          <w:numId w:val="7"/>
        </w:numPr>
        <w:spacing w:line="200" w:lineRule="exact"/>
        <w:ind w:firstLine="340" w:firstLineChars="20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pPr>
        <w:numPr>
          <w:ilvl w:val="0"/>
          <w:numId w:val="8"/>
        </w:numPr>
        <w:spacing w:line="200" w:lineRule="exact"/>
        <w:ind w:firstLine="340"/>
        <w:rPr>
          <w:spacing w:val="10"/>
          <w:sz w:val="15"/>
          <w:szCs w:val="15"/>
        </w:rPr>
      </w:pPr>
      <w:r>
        <w:rPr>
          <w:spacing w:val="10"/>
          <w:sz w:val="15"/>
          <w:szCs w:val="15"/>
        </w:rPr>
        <w:t>乙方应接受</w:t>
      </w:r>
      <w:r>
        <w:rPr>
          <w:rFonts w:hint="eastAsia"/>
          <w:spacing w:val="10"/>
          <w:sz w:val="15"/>
          <w:szCs w:val="15"/>
        </w:rPr>
        <w:t>销售机构</w:t>
      </w:r>
      <w:r>
        <w:rPr>
          <w:spacing w:val="10"/>
          <w:sz w:val="15"/>
          <w:szCs w:val="15"/>
        </w:rPr>
        <w:t>对其投资风险承受能力进行的测评。（个人投资者适用）</w:t>
      </w:r>
    </w:p>
    <w:p>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pPr>
        <w:numPr>
          <w:ilvl w:val="0"/>
          <w:numId w:val="8"/>
        </w:numPr>
        <w:spacing w:line="200" w:lineRule="exact"/>
        <w:ind w:firstLine="340"/>
        <w:rPr>
          <w:spacing w:val="10"/>
          <w:sz w:val="15"/>
          <w:szCs w:val="15"/>
        </w:rPr>
      </w:pPr>
      <w:r>
        <w:rPr>
          <w:spacing w:val="10"/>
          <w:sz w:val="15"/>
          <w:szCs w:val="15"/>
        </w:rPr>
        <w:t>乙方保证，乙方系符合监管规定要求的合格投资者。（私募产品投资者适用）</w:t>
      </w:r>
    </w:p>
    <w:p>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pPr>
        <w:numPr>
          <w:ilvl w:val="0"/>
          <w:numId w:val="8"/>
        </w:numPr>
        <w:spacing w:line="200" w:lineRule="exact"/>
        <w:ind w:firstLine="340" w:firstLineChars="200"/>
        <w:rPr>
          <w:spacing w:val="10"/>
          <w:sz w:val="15"/>
          <w:szCs w:val="15"/>
        </w:rPr>
      </w:pPr>
      <w:r>
        <w:rPr>
          <w:spacing w:val="10"/>
          <w:sz w:val="15"/>
          <w:szCs w:val="15"/>
        </w:rPr>
        <w:t>乙方保证执行及交付任何文件或履行本协议项下的义务，均不会违反(i)任何适用法律、法规、法令或法律限制，任何法院或其他政府机关所作出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pPr>
        <w:numPr>
          <w:ilvl w:val="0"/>
          <w:numId w:val="8"/>
        </w:numPr>
        <w:spacing w:line="200" w:lineRule="exact"/>
        <w:ind w:firstLine="340" w:firstLineChars="20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pPr>
        <w:pStyle w:val="5"/>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pPr>
        <w:numPr>
          <w:ilvl w:val="0"/>
          <w:numId w:val="8"/>
        </w:numPr>
        <w:spacing w:line="200" w:lineRule="exact"/>
        <w:ind w:firstLine="340" w:firstLineChars="20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pPr>
        <w:numPr>
          <w:ilvl w:val="0"/>
          <w:numId w:val="8"/>
        </w:numPr>
        <w:spacing w:line="200" w:lineRule="exact"/>
        <w:ind w:firstLine="340" w:firstLineChars="200"/>
        <w:rPr>
          <w:spacing w:val="10"/>
          <w:sz w:val="15"/>
          <w:szCs w:val="15"/>
        </w:rPr>
      </w:pPr>
      <w:r>
        <w:rPr>
          <w:spacing w:val="10"/>
          <w:sz w:val="15"/>
          <w:szCs w:val="15"/>
        </w:rPr>
        <w:t>乙方承诺，不利用本理财业务及本理财产品说明书项下理财产品从事违法活动。</w:t>
      </w:r>
    </w:p>
    <w:p>
      <w:pPr>
        <w:numPr>
          <w:ilvl w:val="0"/>
          <w:numId w:val="8"/>
        </w:numPr>
        <w:spacing w:line="200" w:lineRule="exact"/>
        <w:ind w:firstLine="340" w:firstLineChars="20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pPr>
        <w:numPr>
          <w:ilvl w:val="0"/>
          <w:numId w:val="8"/>
        </w:numPr>
        <w:spacing w:line="200" w:lineRule="exact"/>
        <w:ind w:firstLine="340" w:firstLineChars="20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pPr>
        <w:numPr>
          <w:ilvl w:val="0"/>
          <w:numId w:val="8"/>
        </w:numPr>
        <w:spacing w:line="200" w:lineRule="exact"/>
        <w:ind w:firstLine="340" w:firstLineChars="20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保证其不属于联合国、欧盟或美国等制裁名单，及中国政府部门或有权机关发布的涉恐及反洗钱相关风险名单；不位于被联合国、欧盟或美国等制裁的国家和地区。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pPr>
        <w:numPr>
          <w:ilvl w:val="0"/>
          <w:numId w:val="8"/>
        </w:numPr>
        <w:spacing w:line="200" w:lineRule="exact"/>
        <w:ind w:firstLine="340" w:firstLineChars="20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pPr>
        <w:numPr>
          <w:ilvl w:val="0"/>
          <w:numId w:val="8"/>
        </w:numPr>
        <w:spacing w:line="200" w:lineRule="exact"/>
        <w:ind w:firstLine="340" w:firstLineChars="20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pPr>
        <w:numPr>
          <w:ilvl w:val="0"/>
          <w:numId w:val="8"/>
        </w:numPr>
        <w:spacing w:line="200" w:lineRule="exact"/>
        <w:ind w:firstLine="340" w:firstLineChars="20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pPr>
        <w:numPr>
          <w:ilvl w:val="0"/>
          <w:numId w:val="8"/>
        </w:numPr>
        <w:spacing w:line="200" w:lineRule="exact"/>
        <w:ind w:firstLine="340" w:firstLineChars="20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pPr>
        <w:numPr>
          <w:ilvl w:val="0"/>
          <w:numId w:val="8"/>
        </w:numPr>
        <w:spacing w:line="200" w:lineRule="exact"/>
        <w:ind w:firstLine="340" w:firstLineChars="20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pPr>
        <w:spacing w:line="200" w:lineRule="exact"/>
        <w:ind w:firstLine="340" w:firstLineChars="200"/>
        <w:rPr>
          <w:spacing w:val="10"/>
          <w:sz w:val="15"/>
          <w:szCs w:val="15"/>
        </w:rPr>
      </w:pPr>
      <w:r>
        <w:rPr>
          <w:rFonts w:hint="eastAsia"/>
          <w:b/>
          <w:bCs/>
          <w:spacing w:val="10"/>
          <w:sz w:val="15"/>
          <w:szCs w:val="15"/>
        </w:rPr>
        <w:t>5</w:t>
      </w:r>
      <w:r>
        <w:rPr>
          <w:b/>
          <w:bCs/>
          <w:spacing w:val="10"/>
          <w:sz w:val="15"/>
          <w:szCs w:val="15"/>
        </w:rPr>
        <w:t>.产品认购或申购、赎回</w:t>
      </w:r>
    </w:p>
    <w:p>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pPr>
        <w:numPr>
          <w:ilvl w:val="0"/>
          <w:numId w:val="9"/>
        </w:numPr>
        <w:spacing w:line="200" w:lineRule="exact"/>
        <w:ind w:firstLine="340" w:firstLineChars="20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pPr>
        <w:numPr>
          <w:ilvl w:val="0"/>
          <w:numId w:val="9"/>
        </w:numPr>
        <w:spacing w:line="200" w:lineRule="exact"/>
        <w:ind w:firstLine="340" w:firstLineChars="20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pPr>
        <w:numPr>
          <w:ilvl w:val="0"/>
          <w:numId w:val="9"/>
        </w:numPr>
        <w:spacing w:line="200" w:lineRule="exact"/>
        <w:ind w:firstLine="340" w:firstLineChars="200"/>
        <w:rPr>
          <w:spacing w:val="10"/>
          <w:sz w:val="15"/>
          <w:szCs w:val="15"/>
        </w:rPr>
      </w:pPr>
      <w:r>
        <w:rPr>
          <w:spacing w:val="10"/>
          <w:sz w:val="15"/>
          <w:szCs w:val="15"/>
        </w:rPr>
        <w:t>理财产品投资品种、投资起点金额、收益支付方式：参照对应期次的《理财产品说明书》中的约定。</w:t>
      </w:r>
    </w:p>
    <w:p>
      <w:pPr>
        <w:numPr>
          <w:ilvl w:val="0"/>
          <w:numId w:val="9"/>
        </w:numPr>
        <w:spacing w:line="200" w:lineRule="exact"/>
        <w:ind w:firstLine="340" w:firstLineChars="20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pPr>
        <w:spacing w:line="200" w:lineRule="exact"/>
        <w:ind w:firstLine="340" w:firstLineChars="20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pPr>
        <w:spacing w:line="200" w:lineRule="exact"/>
        <w:ind w:firstLine="300" w:firstLineChars="2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pPr>
        <w:spacing w:line="200" w:lineRule="exact"/>
        <w:ind w:firstLine="340" w:firstLineChars="200"/>
        <w:rPr>
          <w:b/>
          <w:bCs/>
          <w:spacing w:val="10"/>
          <w:sz w:val="15"/>
          <w:szCs w:val="15"/>
        </w:rPr>
      </w:pPr>
      <w:r>
        <w:rPr>
          <w:rFonts w:hint="eastAsia"/>
          <w:b/>
          <w:bCs/>
          <w:spacing w:val="10"/>
          <w:sz w:val="15"/>
          <w:szCs w:val="15"/>
        </w:rPr>
        <w:t>（1）理财</w:t>
      </w:r>
      <w:r>
        <w:rPr>
          <w:b/>
          <w:bCs/>
          <w:spacing w:val="10"/>
          <w:sz w:val="15"/>
          <w:szCs w:val="15"/>
        </w:rPr>
        <w:t>产品提前终止</w:t>
      </w:r>
    </w:p>
    <w:p>
      <w:pPr>
        <w:spacing w:line="200" w:lineRule="exact"/>
        <w:ind w:firstLine="340" w:firstLineChars="200"/>
        <w:rPr>
          <w:bCs/>
          <w:spacing w:val="10"/>
          <w:sz w:val="15"/>
          <w:szCs w:val="15"/>
        </w:rPr>
      </w:pPr>
      <w:r>
        <w:rPr>
          <w:bCs/>
          <w:spacing w:val="10"/>
          <w:sz w:val="15"/>
          <w:szCs w:val="15"/>
        </w:rPr>
        <w:t>在理财产品存续期内，如发生以下事项时，南银理财可对本理财产品行使全部提前终止权：</w:t>
      </w:r>
    </w:p>
    <w:p>
      <w:pPr>
        <w:pStyle w:val="60"/>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pPr>
        <w:pStyle w:val="60"/>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pPr>
        <w:pStyle w:val="60"/>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pPr>
        <w:pStyle w:val="60"/>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pPr>
        <w:pStyle w:val="60"/>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pPr>
        <w:pStyle w:val="60"/>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pPr>
        <w:pStyle w:val="60"/>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pPr>
        <w:pStyle w:val="60"/>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pPr>
        <w:pStyle w:val="60"/>
        <w:numPr>
          <w:ilvl w:val="0"/>
          <w:numId w:val="10"/>
        </w:numPr>
        <w:spacing w:line="200" w:lineRule="exact"/>
        <w:ind w:firstLineChars="0"/>
        <w:rPr>
          <w:bCs/>
          <w:spacing w:val="10"/>
          <w:sz w:val="15"/>
          <w:szCs w:val="15"/>
        </w:rPr>
      </w:pPr>
      <w:r>
        <w:rPr>
          <w:bCs/>
          <w:spacing w:val="10"/>
          <w:sz w:val="15"/>
          <w:szCs w:val="15"/>
        </w:rPr>
        <w:t>南银理财合理认为应该提前终止本理财产品的其他情况。</w:t>
      </w:r>
    </w:p>
    <w:p>
      <w:pPr>
        <w:pStyle w:val="60"/>
        <w:spacing w:line="200" w:lineRule="exact"/>
        <w:ind w:left="340" w:firstLine="0" w:firstLineChars="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pPr>
        <w:spacing w:line="200" w:lineRule="exact"/>
        <w:ind w:firstLine="340" w:firstLineChars="20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pPr>
        <w:pStyle w:val="60"/>
        <w:numPr>
          <w:ilvl w:val="0"/>
          <w:numId w:val="11"/>
        </w:numPr>
        <w:spacing w:line="200" w:lineRule="exact"/>
        <w:ind w:firstLineChars="0"/>
        <w:rPr>
          <w:bCs/>
          <w:spacing w:val="10"/>
          <w:sz w:val="15"/>
          <w:szCs w:val="15"/>
        </w:rPr>
      </w:pPr>
      <w:r>
        <w:rPr>
          <w:bCs/>
          <w:spacing w:val="10"/>
          <w:sz w:val="15"/>
          <w:szCs w:val="15"/>
        </w:rPr>
        <w:t>产品到期日遇非工作日，产品到期日顺延至下一工作日；</w:t>
      </w:r>
    </w:p>
    <w:p>
      <w:pPr>
        <w:pStyle w:val="60"/>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pPr>
        <w:pStyle w:val="60"/>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pPr>
        <w:pStyle w:val="60"/>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因不可抗力等原因，导致管理人无法及时收回资金及/或进行理财资金清算分配的；</w:t>
      </w:r>
    </w:p>
    <w:p>
      <w:pPr>
        <w:pStyle w:val="60"/>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pPr>
        <w:pStyle w:val="60"/>
        <w:numPr>
          <w:ilvl w:val="0"/>
          <w:numId w:val="11"/>
        </w:numPr>
        <w:spacing w:line="200" w:lineRule="exact"/>
        <w:ind w:firstLineChars="0"/>
        <w:rPr>
          <w:bCs/>
          <w:spacing w:val="10"/>
          <w:sz w:val="15"/>
          <w:szCs w:val="15"/>
        </w:rPr>
      </w:pPr>
      <w:r>
        <w:rPr>
          <w:bCs/>
          <w:spacing w:val="10"/>
          <w:sz w:val="15"/>
          <w:szCs w:val="15"/>
        </w:rPr>
        <w:t>其他管理人认为需要延期的情形；</w:t>
      </w:r>
    </w:p>
    <w:p>
      <w:pPr>
        <w:pStyle w:val="60"/>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pPr>
        <w:spacing w:line="200" w:lineRule="exact"/>
        <w:ind w:firstLine="340" w:firstLineChars="20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pPr>
        <w:spacing w:line="200" w:lineRule="exact"/>
        <w:ind w:firstLine="340" w:firstLineChars="200"/>
        <w:rPr>
          <w:b/>
          <w:spacing w:val="10"/>
          <w:sz w:val="15"/>
          <w:szCs w:val="15"/>
        </w:rPr>
      </w:pPr>
      <w:r>
        <w:rPr>
          <w:rFonts w:hint="eastAsia"/>
          <w:b/>
          <w:spacing w:val="10"/>
          <w:sz w:val="15"/>
          <w:szCs w:val="15"/>
        </w:rPr>
        <w:t xml:space="preserve">7.产品资产的清算 </w:t>
      </w:r>
    </w:p>
    <w:p>
      <w:pPr>
        <w:spacing w:line="200" w:lineRule="exact"/>
        <w:ind w:firstLine="340" w:firstLineChars="20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pPr>
        <w:spacing w:line="200" w:lineRule="exact"/>
        <w:ind w:firstLine="340" w:firstLineChars="200"/>
        <w:rPr>
          <w:bCs/>
          <w:spacing w:val="10"/>
          <w:sz w:val="15"/>
          <w:szCs w:val="15"/>
        </w:rPr>
      </w:pPr>
      <w:r>
        <w:rPr>
          <w:rFonts w:hint="eastAsia"/>
          <w:bCs/>
          <w:spacing w:val="10"/>
          <w:sz w:val="15"/>
          <w:szCs w:val="15"/>
        </w:rPr>
        <w:t>清算期原则上不得超过5个工作日，因清算期超过5个工作日的，应当在理财产品终止前，将依约定进行公告。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pPr>
        <w:spacing w:line="200" w:lineRule="exact"/>
        <w:ind w:firstLine="340" w:firstLineChars="200"/>
        <w:rPr>
          <w:b/>
          <w:bCs/>
          <w:spacing w:val="10"/>
          <w:sz w:val="15"/>
          <w:szCs w:val="15"/>
        </w:rPr>
      </w:pPr>
      <w:r>
        <w:rPr>
          <w:rFonts w:hint="eastAsia"/>
          <w:b/>
          <w:bCs/>
          <w:spacing w:val="10"/>
          <w:sz w:val="15"/>
          <w:szCs w:val="15"/>
        </w:rPr>
        <w:t>8</w:t>
      </w:r>
      <w:r>
        <w:rPr>
          <w:b/>
          <w:bCs/>
          <w:spacing w:val="10"/>
          <w:sz w:val="15"/>
          <w:szCs w:val="15"/>
        </w:rPr>
        <w:t>.特别提示</w:t>
      </w:r>
    </w:p>
    <w:p>
      <w:pPr>
        <w:spacing w:line="200" w:lineRule="exact"/>
        <w:ind w:firstLine="340" w:firstLineChars="200"/>
        <w:rPr>
          <w:b/>
          <w:spacing w:val="10"/>
          <w:sz w:val="15"/>
          <w:szCs w:val="15"/>
        </w:rPr>
      </w:pPr>
      <w:r>
        <w:rPr>
          <w:b/>
          <w:spacing w:val="10"/>
          <w:sz w:val="15"/>
          <w:szCs w:val="15"/>
        </w:rPr>
        <w:t>在本理财产品存续期内</w:t>
      </w:r>
      <w:r>
        <w:rPr>
          <w:rFonts w:hint="eastAsia"/>
          <w:b/>
          <w:spacing w:val="10"/>
          <w:sz w:val="15"/>
          <w:szCs w:val="15"/>
        </w:rPr>
        <w:t>：</w:t>
      </w:r>
    </w:p>
    <w:p>
      <w:pPr>
        <w:numPr>
          <w:ilvl w:val="0"/>
          <w:numId w:val="12"/>
        </w:numPr>
        <w:spacing w:line="200" w:lineRule="exact"/>
        <w:ind w:firstLine="340" w:firstLineChars="20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pPr>
        <w:numPr>
          <w:ilvl w:val="0"/>
          <w:numId w:val="12"/>
        </w:numPr>
        <w:spacing w:line="200" w:lineRule="exact"/>
        <w:ind w:firstLine="340" w:firstLineChars="20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市场情况等发生变化或是出于维护本理财产品正常运营或管理的需要，或基于甲方合理认定的其他情形，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通过短信及南银理财官网等渠道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pPr>
        <w:numPr>
          <w:ilvl w:val="0"/>
          <w:numId w:val="12"/>
        </w:numPr>
        <w:spacing w:line="200" w:lineRule="exact"/>
        <w:ind w:firstLine="340" w:firstLineChars="200"/>
        <w:rPr>
          <w:b/>
          <w:bCs/>
          <w:spacing w:val="10"/>
          <w:sz w:val="15"/>
          <w:szCs w:val="15"/>
        </w:rPr>
      </w:pPr>
      <w:r>
        <w:rPr>
          <w:b/>
          <w:bCs/>
          <w:spacing w:val="10"/>
          <w:sz w:val="15"/>
          <w:szCs w:val="15"/>
        </w:rPr>
        <w:t>免责条款</w:t>
      </w:r>
    </w:p>
    <w:p>
      <w:pPr>
        <w:pStyle w:val="60"/>
        <w:numPr>
          <w:ilvl w:val="0"/>
          <w:numId w:val="13"/>
        </w:numPr>
        <w:spacing w:line="200" w:lineRule="exact"/>
        <w:ind w:firstLineChars="0"/>
        <w:rPr>
          <w:b/>
          <w:bCs/>
          <w:spacing w:val="10"/>
          <w:sz w:val="15"/>
          <w:szCs w:val="15"/>
        </w:rPr>
      </w:pPr>
      <w:r>
        <w:rPr>
          <w:b/>
          <w:bCs/>
          <w:spacing w:val="10"/>
          <w:sz w:val="15"/>
          <w:szCs w:val="15"/>
        </w:rPr>
        <w:t>不合法。如果因遵守任何适用法律、法规、条例、规则、规定、裁决、命令或指令</w:t>
      </w:r>
      <w:r>
        <w:rPr>
          <w:rFonts w:hint="eastAsia"/>
          <w:b/>
          <w:bCs/>
          <w:spacing w:val="10"/>
          <w:sz w:val="15"/>
          <w:szCs w:val="15"/>
        </w:rPr>
        <w:t>（</w:t>
      </w:r>
      <w:r>
        <w:rPr>
          <w:b/>
          <w:bCs/>
          <w:spacing w:val="10"/>
          <w:sz w:val="15"/>
          <w:szCs w:val="15"/>
        </w:rPr>
        <w:t>不论是现行或将来实施的</w:t>
      </w:r>
      <w:r>
        <w:rPr>
          <w:rFonts w:hint="eastAsia"/>
          <w:b/>
          <w:bCs/>
          <w:spacing w:val="10"/>
          <w:sz w:val="15"/>
          <w:szCs w:val="15"/>
        </w:rPr>
        <w:t>）</w:t>
      </w:r>
      <w:r>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pPr>
        <w:pStyle w:val="60"/>
        <w:numPr>
          <w:ilvl w:val="0"/>
          <w:numId w:val="13"/>
        </w:numPr>
        <w:spacing w:line="200" w:lineRule="exact"/>
        <w:ind w:firstLineChars="0"/>
        <w:rPr>
          <w:b/>
          <w:spacing w:val="10"/>
          <w:sz w:val="15"/>
          <w:szCs w:val="15"/>
        </w:rPr>
      </w:pPr>
      <w:r>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內地或全球金融外汇市场发生致使甲方无法进行货币兑换、划转等的异常变化；任何政府机关或其他机关的行为</w:t>
      </w:r>
      <w:r>
        <w:rPr>
          <w:rFonts w:hint="eastAsia"/>
          <w:b/>
          <w:bCs/>
          <w:spacing w:val="10"/>
          <w:sz w:val="15"/>
          <w:szCs w:val="15"/>
        </w:rPr>
        <w:t>（</w:t>
      </w:r>
      <w:r>
        <w:rPr>
          <w:b/>
          <w:bCs/>
          <w:spacing w:val="10"/>
          <w:sz w:val="15"/>
          <w:szCs w:val="15"/>
        </w:rPr>
        <w:t>不论是在法律上或是在事实上</w:t>
      </w:r>
      <w:r>
        <w:rPr>
          <w:rFonts w:hint="eastAsia"/>
          <w:b/>
          <w:bCs/>
          <w:spacing w:val="10"/>
          <w:sz w:val="15"/>
          <w:szCs w:val="15"/>
        </w:rPr>
        <w:t>）</w:t>
      </w:r>
      <w:r>
        <w:rPr>
          <w:b/>
          <w:bCs/>
          <w:spacing w:val="10"/>
          <w:sz w:val="15"/>
          <w:szCs w:val="15"/>
        </w:rPr>
        <w:t>、法律、法规、条例、规则、规定、裁决、命令或指令</w:t>
      </w:r>
      <w:r>
        <w:rPr>
          <w:rFonts w:hint="eastAsia"/>
          <w:b/>
          <w:bCs/>
          <w:spacing w:val="10"/>
          <w:sz w:val="15"/>
          <w:szCs w:val="15"/>
        </w:rPr>
        <w:t>（</w:t>
      </w:r>
      <w:r>
        <w:rPr>
          <w:b/>
          <w:bCs/>
          <w:spacing w:val="10"/>
          <w:sz w:val="15"/>
          <w:szCs w:val="15"/>
        </w:rPr>
        <w:t>包括国有化或对外限制、外汇管制</w:t>
      </w:r>
      <w:r>
        <w:rPr>
          <w:rFonts w:hint="eastAsia"/>
          <w:b/>
          <w:bCs/>
          <w:spacing w:val="10"/>
          <w:sz w:val="15"/>
          <w:szCs w:val="15"/>
        </w:rPr>
        <w:t>）</w:t>
      </w:r>
      <w:r>
        <w:rPr>
          <w:b/>
          <w:bCs/>
          <w:spacing w:val="10"/>
          <w:sz w:val="15"/>
          <w:szCs w:val="15"/>
        </w:rPr>
        <w:t>、诉讼或威胁；因理财产品各方和/或其关联方运营网络系统遭受黑客攻击、电信部门技术调整或故障等原因而造成的理财产品各方和/或其关联方之服务、营业的中断或者延迟;或任何其他非甲方所能控制的情况或原因，导致甲方未能履行或需延迟履行协议项下或与理财产品相关的支付义务，甲方无需对乙方承担任何责任。尤其是，当资金存放在任何</w:t>
      </w:r>
      <w:r>
        <w:rPr>
          <w:rFonts w:hint="eastAsia"/>
          <w:b/>
          <w:bCs/>
          <w:spacing w:val="10"/>
          <w:sz w:val="15"/>
          <w:szCs w:val="15"/>
        </w:rPr>
        <w:t>销售</w:t>
      </w:r>
      <w:r>
        <w:rPr>
          <w:b/>
          <w:bCs/>
          <w:spacing w:val="10"/>
          <w:sz w:val="15"/>
          <w:szCs w:val="15"/>
        </w:rPr>
        <w:t>机构、托管人或代理人处而他们因上述原因被禁止向甲方付款或履行义务时，甲方亦无需向乙方负责。如果在一个支付日发生不可抗力</w:t>
      </w:r>
      <w:r>
        <w:rPr>
          <w:rFonts w:hint="eastAsia"/>
          <w:b/>
          <w:bCs/>
          <w:spacing w:val="10"/>
          <w:sz w:val="15"/>
          <w:szCs w:val="15"/>
        </w:rPr>
        <w:t>（</w:t>
      </w:r>
      <w:r>
        <w:rPr>
          <w:b/>
          <w:bCs/>
          <w:spacing w:val="10"/>
          <w:sz w:val="15"/>
          <w:szCs w:val="15"/>
        </w:rPr>
        <w:t>不论该不可抗力是否持续整个当日</w:t>
      </w:r>
      <w:r>
        <w:rPr>
          <w:rFonts w:hint="eastAsia"/>
          <w:b/>
          <w:bCs/>
          <w:spacing w:val="10"/>
          <w:sz w:val="15"/>
          <w:szCs w:val="15"/>
        </w:rPr>
        <w:t>）</w:t>
      </w:r>
      <w:r>
        <w:rPr>
          <w:b/>
          <w:bCs/>
          <w:spacing w:val="10"/>
          <w:sz w:val="15"/>
          <w:szCs w:val="15"/>
        </w:rPr>
        <w:t>，与理财产品有关的相关回报或赎回金额</w:t>
      </w:r>
      <w:r>
        <w:rPr>
          <w:rFonts w:hint="eastAsia"/>
          <w:b/>
          <w:bCs/>
          <w:spacing w:val="10"/>
          <w:sz w:val="15"/>
          <w:szCs w:val="15"/>
        </w:rPr>
        <w:t>（</w:t>
      </w:r>
      <w:r>
        <w:rPr>
          <w:b/>
          <w:bCs/>
          <w:spacing w:val="10"/>
          <w:sz w:val="15"/>
          <w:szCs w:val="15"/>
        </w:rPr>
        <w:t>视情形而定</w:t>
      </w:r>
      <w:r>
        <w:rPr>
          <w:rFonts w:hint="eastAsia"/>
          <w:b/>
          <w:bCs/>
          <w:spacing w:val="10"/>
          <w:sz w:val="15"/>
          <w:szCs w:val="15"/>
        </w:rPr>
        <w:t>）</w:t>
      </w:r>
      <w:r>
        <w:rPr>
          <w:b/>
          <w:bCs/>
          <w:spacing w:val="10"/>
          <w:sz w:val="15"/>
          <w:szCs w:val="15"/>
        </w:rPr>
        <w:t>的支付将由甲方按完全自行酌情决定顺延至紧临的下一个不存在不可抗力的工作日。乙方将不会因此而收到额外的收益或者补偿。</w:t>
      </w:r>
    </w:p>
    <w:p>
      <w:pPr>
        <w:pStyle w:val="60"/>
        <w:numPr>
          <w:ilvl w:val="0"/>
          <w:numId w:val="13"/>
        </w:numPr>
        <w:spacing w:line="200" w:lineRule="exact"/>
        <w:ind w:firstLineChars="0"/>
        <w:rPr>
          <w:b/>
          <w:bCs/>
          <w:spacing w:val="10"/>
          <w:sz w:val="15"/>
          <w:szCs w:val="15"/>
        </w:rPr>
      </w:pPr>
      <w:r>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
          <w:bCs/>
          <w:spacing w:val="10"/>
          <w:sz w:val="15"/>
          <w:szCs w:val="15"/>
        </w:rPr>
        <w:t>乙方承担</w:t>
      </w:r>
      <w:r>
        <w:rPr>
          <w:b/>
          <w:bCs/>
          <w:spacing w:val="10"/>
          <w:sz w:val="15"/>
          <w:szCs w:val="15"/>
        </w:rPr>
        <w:t>由此</w:t>
      </w:r>
      <w:r>
        <w:rPr>
          <w:rFonts w:hint="eastAsia"/>
          <w:b/>
          <w:bCs/>
          <w:spacing w:val="10"/>
          <w:sz w:val="15"/>
          <w:szCs w:val="15"/>
        </w:rPr>
        <w:t>给乙方</w:t>
      </w:r>
      <w:r>
        <w:rPr>
          <w:b/>
          <w:bCs/>
          <w:spacing w:val="10"/>
          <w:sz w:val="15"/>
          <w:szCs w:val="15"/>
        </w:rPr>
        <w:t>造成的任何损失。</w:t>
      </w:r>
    </w:p>
    <w:p>
      <w:pPr>
        <w:pStyle w:val="60"/>
        <w:numPr>
          <w:ilvl w:val="0"/>
          <w:numId w:val="13"/>
        </w:numPr>
        <w:spacing w:line="200" w:lineRule="exact"/>
        <w:ind w:firstLineChars="0"/>
        <w:rPr>
          <w:b/>
          <w:bCs/>
          <w:spacing w:val="10"/>
          <w:sz w:val="15"/>
          <w:szCs w:val="15"/>
        </w:rPr>
      </w:pPr>
      <w:r>
        <w:rPr>
          <w:b/>
          <w:bCs/>
          <w:spacing w:val="10"/>
          <w:sz w:val="15"/>
          <w:szCs w:val="15"/>
        </w:rPr>
        <w:t>本理财产品</w:t>
      </w:r>
      <w:r>
        <w:rPr>
          <w:rFonts w:hint="eastAsia"/>
          <w:b/>
          <w:bCs/>
          <w:spacing w:val="10"/>
          <w:sz w:val="15"/>
          <w:szCs w:val="15"/>
        </w:rPr>
        <w:t>销售文件</w:t>
      </w:r>
      <w:r>
        <w:rPr>
          <w:b/>
          <w:bCs/>
          <w:spacing w:val="10"/>
          <w:sz w:val="15"/>
          <w:szCs w:val="15"/>
        </w:rPr>
        <w:t>项下理财业务不受</w:t>
      </w:r>
      <w:r>
        <w:rPr>
          <w:rFonts w:hint="eastAsia"/>
          <w:b/>
          <w:bCs/>
          <w:spacing w:val="10"/>
          <w:sz w:val="15"/>
          <w:szCs w:val="15"/>
        </w:rPr>
        <w:t>销售</w:t>
      </w:r>
      <w:r>
        <w:rPr>
          <w:b/>
          <w:bCs/>
          <w:spacing w:val="10"/>
          <w:sz w:val="15"/>
          <w:szCs w:val="15"/>
        </w:rPr>
        <w:t>机构存款保险机制或其他保障机制保障。</w:t>
      </w:r>
    </w:p>
    <w:p>
      <w:pPr>
        <w:numPr>
          <w:ilvl w:val="0"/>
          <w:numId w:val="12"/>
        </w:numPr>
        <w:spacing w:line="200" w:lineRule="exact"/>
        <w:ind w:firstLine="340" w:firstLineChars="200"/>
        <w:rPr>
          <w:spacing w:val="10"/>
          <w:sz w:val="15"/>
          <w:szCs w:val="15"/>
        </w:rPr>
      </w:pPr>
      <w:r>
        <w:rPr>
          <w:bCs/>
          <w:spacing w:val="10"/>
          <w:sz w:val="15"/>
          <w:szCs w:val="15"/>
        </w:rPr>
        <w:t>赔偿</w:t>
      </w:r>
      <w:r>
        <w:rPr>
          <w:spacing w:val="10"/>
          <w:sz w:val="15"/>
          <w:szCs w:val="15"/>
        </w:rPr>
        <w:t>及责任限制</w:t>
      </w:r>
    </w:p>
    <w:p>
      <w:pPr>
        <w:spacing w:line="200" w:lineRule="exact"/>
        <w:ind w:firstLine="340" w:firstLineChars="20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pPr>
        <w:spacing w:line="200" w:lineRule="exact"/>
        <w:ind w:firstLine="340" w:firstLineChars="200"/>
        <w:rPr>
          <w:spacing w:val="10"/>
          <w:sz w:val="15"/>
          <w:szCs w:val="15"/>
        </w:rPr>
      </w:pPr>
      <w:r>
        <w:rPr>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pPr>
        <w:numPr>
          <w:ilvl w:val="0"/>
          <w:numId w:val="12"/>
        </w:numPr>
        <w:spacing w:line="200" w:lineRule="exact"/>
        <w:ind w:firstLine="340" w:firstLineChars="200"/>
        <w:rPr>
          <w:spacing w:val="10"/>
          <w:sz w:val="15"/>
          <w:szCs w:val="15"/>
        </w:rPr>
      </w:pPr>
      <w:r>
        <w:rPr>
          <w:bCs/>
          <w:spacing w:val="10"/>
          <w:sz w:val="15"/>
          <w:szCs w:val="15"/>
        </w:rPr>
        <w:t>抵销</w:t>
      </w:r>
    </w:p>
    <w:p>
      <w:pPr>
        <w:pStyle w:val="60"/>
        <w:numPr>
          <w:ilvl w:val="0"/>
          <w:numId w:val="14"/>
        </w:numPr>
        <w:spacing w:line="200" w:lineRule="exact"/>
        <w:ind w:firstLineChars="0"/>
        <w:rPr>
          <w:bCs/>
          <w:spacing w:val="10"/>
          <w:sz w:val="15"/>
          <w:szCs w:val="15"/>
        </w:rPr>
      </w:pPr>
      <w:r>
        <w:rPr>
          <w:b/>
          <w:spacing w:val="10"/>
          <w:sz w:val="15"/>
          <w:szCs w:val="15"/>
        </w:rPr>
        <w:t>除享有法律规定的或其他的抵销权利外，甲方有权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进行抵销，而无须事先书面通知乙方或任何其他人员</w:t>
      </w:r>
      <w:r>
        <w:rPr>
          <w:rFonts w:hint="eastAsia"/>
          <w:bCs/>
          <w:spacing w:val="10"/>
          <w:sz w:val="15"/>
          <w:szCs w:val="15"/>
        </w:rPr>
        <w:t>。</w:t>
      </w:r>
    </w:p>
    <w:p>
      <w:pPr>
        <w:pStyle w:val="60"/>
        <w:numPr>
          <w:ilvl w:val="0"/>
          <w:numId w:val="14"/>
        </w:numPr>
        <w:spacing w:line="200" w:lineRule="exact"/>
        <w:ind w:firstLineChars="0"/>
        <w:rPr>
          <w:bCs/>
          <w:spacing w:val="10"/>
          <w:sz w:val="15"/>
          <w:szCs w:val="15"/>
        </w:rPr>
      </w:pPr>
      <w:r>
        <w:rPr>
          <w:bCs/>
          <w:spacing w:val="10"/>
          <w:sz w:val="15"/>
          <w:szCs w:val="15"/>
        </w:rPr>
        <w:t>为了对不同货币进行抵销，甲方可在有关日期以甲方所选择适用的市场汇率将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的债务予以兑换。如果债务尚未确定，则甲方可估计该债务的数额后进行抵销，但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pPr>
        <w:numPr>
          <w:ilvl w:val="0"/>
          <w:numId w:val="12"/>
        </w:numPr>
        <w:spacing w:line="200" w:lineRule="exact"/>
        <w:ind w:firstLine="340" w:firstLineChars="200"/>
        <w:rPr>
          <w:spacing w:val="10"/>
          <w:sz w:val="15"/>
          <w:szCs w:val="15"/>
        </w:rPr>
      </w:pPr>
      <w:r>
        <w:rPr>
          <w:bCs/>
          <w:spacing w:val="10"/>
          <w:sz w:val="15"/>
          <w:szCs w:val="15"/>
        </w:rPr>
        <w:t>弃权</w:t>
      </w:r>
    </w:p>
    <w:p>
      <w:pPr>
        <w:spacing w:line="200" w:lineRule="exact"/>
        <w:ind w:firstLine="340" w:firstLineChars="20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pPr>
        <w:numPr>
          <w:ilvl w:val="0"/>
          <w:numId w:val="12"/>
        </w:numPr>
        <w:spacing w:line="200" w:lineRule="exact"/>
        <w:ind w:firstLine="340" w:firstLineChars="200"/>
        <w:rPr>
          <w:spacing w:val="10"/>
          <w:sz w:val="15"/>
          <w:szCs w:val="15"/>
        </w:rPr>
      </w:pPr>
      <w:r>
        <w:rPr>
          <w:spacing w:val="10"/>
          <w:sz w:val="15"/>
          <w:szCs w:val="15"/>
        </w:rPr>
        <w:t>可分割性</w:t>
      </w:r>
    </w:p>
    <w:p>
      <w:pPr>
        <w:spacing w:line="200" w:lineRule="exact"/>
        <w:ind w:firstLine="340" w:firstLineChars="200"/>
        <w:rPr>
          <w:spacing w:val="10"/>
          <w:sz w:val="15"/>
          <w:szCs w:val="15"/>
        </w:rPr>
      </w:pPr>
      <w:r>
        <w:rPr>
          <w:spacing w:val="10"/>
          <w:sz w:val="15"/>
          <w:szCs w:val="15"/>
        </w:rPr>
        <w:t>协议的任何条款在任何方面的非法、无效或不可强制执行，不影响协议的其他条款的合法性、有效性或可强制执行。</w:t>
      </w:r>
    </w:p>
    <w:p>
      <w:pPr>
        <w:numPr>
          <w:ilvl w:val="0"/>
          <w:numId w:val="12"/>
        </w:numPr>
        <w:spacing w:line="200" w:lineRule="exact"/>
        <w:ind w:firstLine="340" w:firstLineChars="200"/>
        <w:rPr>
          <w:spacing w:val="10"/>
          <w:sz w:val="15"/>
          <w:szCs w:val="15"/>
        </w:rPr>
      </w:pPr>
      <w:r>
        <w:rPr>
          <w:spacing w:val="10"/>
          <w:sz w:val="15"/>
          <w:szCs w:val="15"/>
        </w:rPr>
        <w:t>税收条款</w:t>
      </w:r>
    </w:p>
    <w:p>
      <w:pPr>
        <w:spacing w:line="200" w:lineRule="exact"/>
        <w:ind w:firstLine="340" w:firstLineChars="200"/>
        <w:rPr>
          <w:spacing w:val="10"/>
          <w:sz w:val="15"/>
          <w:szCs w:val="15"/>
        </w:rPr>
      </w:pPr>
      <w:r>
        <w:rPr>
          <w:spacing w:val="10"/>
          <w:sz w:val="15"/>
          <w:szCs w:val="15"/>
        </w:rPr>
        <w:t>以对应期次的《理财产品说明书》约定的税务处理方式为准，如遇国家政策调整则相应执行最新政策。</w:t>
      </w:r>
    </w:p>
    <w:p>
      <w:pPr>
        <w:spacing w:line="200" w:lineRule="exact"/>
        <w:ind w:firstLine="340" w:firstLineChars="200"/>
        <w:rPr>
          <w:spacing w:val="10"/>
          <w:sz w:val="15"/>
          <w:szCs w:val="15"/>
        </w:rPr>
      </w:pPr>
      <w:r>
        <w:rPr>
          <w:rFonts w:hint="eastAsia"/>
          <w:b/>
          <w:bCs/>
          <w:spacing w:val="10"/>
          <w:sz w:val="15"/>
          <w:szCs w:val="15"/>
        </w:rPr>
        <w:t>9</w:t>
      </w:r>
      <w:r>
        <w:rPr>
          <w:b/>
          <w:bCs/>
          <w:spacing w:val="10"/>
          <w:sz w:val="15"/>
          <w:szCs w:val="15"/>
        </w:rPr>
        <w:t>.争议处理</w:t>
      </w:r>
    </w:p>
    <w:p>
      <w:pPr>
        <w:spacing w:line="200" w:lineRule="exact"/>
        <w:ind w:firstLine="340" w:firstLineChars="200"/>
        <w:rPr>
          <w:spacing w:val="10"/>
          <w:sz w:val="15"/>
          <w:szCs w:val="15"/>
        </w:rPr>
      </w:pPr>
      <w:r>
        <w:rPr>
          <w:spacing w:val="10"/>
          <w:sz w:val="15"/>
          <w:szCs w:val="15"/>
        </w:rPr>
        <w:t>本协议在履行过程中发生争议，可以通过协商解决；协商不成的，任何一方有权向甲方所在地有管辖权的人民法院提起诉讼。</w:t>
      </w:r>
    </w:p>
    <w:p>
      <w:pPr>
        <w:spacing w:line="200" w:lineRule="exact"/>
        <w:ind w:firstLine="340" w:firstLineChars="200"/>
        <w:rPr>
          <w:b/>
          <w:bCs/>
          <w:spacing w:val="10"/>
          <w:sz w:val="15"/>
          <w:szCs w:val="15"/>
        </w:rPr>
      </w:pPr>
      <w:r>
        <w:rPr>
          <w:rFonts w:hint="eastAsia"/>
          <w:b/>
          <w:bCs/>
          <w:spacing w:val="10"/>
          <w:sz w:val="15"/>
          <w:szCs w:val="15"/>
        </w:rPr>
        <w:t>10</w:t>
      </w:r>
      <w:r>
        <w:rPr>
          <w:b/>
          <w:bCs/>
          <w:spacing w:val="10"/>
          <w:sz w:val="15"/>
          <w:szCs w:val="15"/>
        </w:rPr>
        <w:t>.协议的生效和终止</w:t>
      </w:r>
    </w:p>
    <w:p>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pPr>
        <w:spacing w:line="200" w:lineRule="exact"/>
        <w:ind w:firstLine="340" w:firstLineChars="20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pPr>
        <w:numPr>
          <w:ilvl w:val="0"/>
          <w:numId w:val="15"/>
        </w:numPr>
        <w:spacing w:line="200" w:lineRule="exact"/>
        <w:ind w:firstLine="340" w:firstLineChars="20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pPr>
        <w:numPr>
          <w:ilvl w:val="0"/>
          <w:numId w:val="15"/>
        </w:numPr>
        <w:spacing w:line="200" w:lineRule="exact"/>
        <w:ind w:firstLine="340" w:firstLineChars="20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pPr>
        <w:spacing w:line="200" w:lineRule="exact"/>
        <w:ind w:firstLine="340" w:firstLineChars="20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pPr>
        <w:spacing w:line="200" w:lineRule="exact"/>
        <w:ind w:firstLine="340" w:firstLineChars="20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pPr>
        <w:spacing w:line="200" w:lineRule="exact"/>
        <w:ind w:firstLine="340" w:firstLineChars="20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pPr>
        <w:spacing w:line="200" w:lineRule="exact"/>
        <w:ind w:firstLine="340" w:firstLineChars="20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p>
    <w:p>
      <w:pPr>
        <w:spacing w:line="200" w:lineRule="exact"/>
        <w:ind w:firstLine="340" w:firstLineChars="200"/>
        <w:rPr>
          <w:spacing w:val="10"/>
          <w:sz w:val="15"/>
          <w:szCs w:val="15"/>
        </w:rPr>
      </w:pPr>
    </w:p>
    <w:p>
      <w:pPr>
        <w:spacing w:line="200" w:lineRule="exact"/>
        <w:ind w:firstLine="340" w:firstLineChars="200"/>
        <w:rPr>
          <w:spacing w:val="10"/>
          <w:sz w:val="15"/>
          <w:szCs w:val="15"/>
        </w:rPr>
      </w:pPr>
    </w:p>
    <w:tbl>
      <w:tblPr>
        <w:tblStyle w:val="14"/>
        <w:tblW w:w="9525" w:type="dxa"/>
        <w:jc w:val="center"/>
        <w:tblLayout w:type="fixed"/>
        <w:tblCellMar>
          <w:top w:w="0" w:type="dxa"/>
          <w:left w:w="108" w:type="dxa"/>
          <w:bottom w:w="0" w:type="dxa"/>
          <w:right w:w="108" w:type="dxa"/>
        </w:tblCellMar>
      </w:tblPr>
      <w:tblGrid>
        <w:gridCol w:w="4812"/>
        <w:gridCol w:w="4713"/>
      </w:tblGrid>
      <w:tr>
        <w:trPr>
          <w:jc w:val="center"/>
        </w:trPr>
        <w:tc>
          <w:tcPr>
            <w:tcW w:w="4812" w:type="dxa"/>
          </w:tcPr>
          <w:p>
            <w:pPr>
              <w:spacing w:line="200" w:lineRule="exact"/>
              <w:rPr>
                <w:spacing w:val="10"/>
                <w:sz w:val="15"/>
                <w:szCs w:val="15"/>
              </w:rPr>
            </w:pPr>
            <w:r>
              <w:rPr>
                <w:spacing w:val="10"/>
                <w:sz w:val="15"/>
                <w:szCs w:val="15"/>
              </w:rPr>
              <w:t>个人投资者（如适用）：</w:t>
            </w:r>
          </w:p>
        </w:tc>
        <w:tc>
          <w:tcPr>
            <w:tcW w:w="4713" w:type="dxa"/>
          </w:tcPr>
          <w:p>
            <w:pPr>
              <w:spacing w:line="200" w:lineRule="exact"/>
              <w:rPr>
                <w:spacing w:val="10"/>
                <w:sz w:val="15"/>
                <w:szCs w:val="15"/>
              </w:rPr>
            </w:pPr>
            <w:r>
              <w:rPr>
                <w:spacing w:val="10"/>
                <w:sz w:val="15"/>
                <w:szCs w:val="15"/>
              </w:rPr>
              <w:t>机构投资者（如适用）：</w:t>
            </w:r>
          </w:p>
        </w:tc>
      </w:tr>
      <w:tr>
        <w:trPr>
          <w:jc w:val="center"/>
        </w:trPr>
        <w:tc>
          <w:tcPr>
            <w:tcW w:w="4812" w:type="dxa"/>
          </w:tcPr>
          <w:p>
            <w:pPr>
              <w:spacing w:line="200" w:lineRule="exact"/>
              <w:ind w:firstLine="340" w:firstLineChars="200"/>
              <w:rPr>
                <w:spacing w:val="10"/>
                <w:sz w:val="15"/>
                <w:szCs w:val="15"/>
              </w:rPr>
            </w:pPr>
          </w:p>
          <w:p>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pPr>
              <w:spacing w:line="200" w:lineRule="exact"/>
              <w:ind w:firstLine="680" w:firstLineChars="400"/>
              <w:rPr>
                <w:spacing w:val="10"/>
                <w:sz w:val="15"/>
                <w:szCs w:val="15"/>
              </w:rPr>
            </w:pPr>
          </w:p>
          <w:p>
            <w:pPr>
              <w:spacing w:line="200" w:lineRule="exact"/>
              <w:ind w:firstLine="850" w:firstLineChars="500"/>
              <w:rPr>
                <w:spacing w:val="10"/>
                <w:sz w:val="15"/>
                <w:szCs w:val="15"/>
              </w:rPr>
            </w:pPr>
          </w:p>
          <w:p>
            <w:pPr>
              <w:spacing w:line="200" w:lineRule="exact"/>
              <w:ind w:firstLine="850" w:firstLineChars="500"/>
              <w:rPr>
                <w:spacing w:val="10"/>
                <w:sz w:val="15"/>
                <w:szCs w:val="15"/>
              </w:rPr>
            </w:pPr>
            <w:r>
              <w:rPr>
                <w:spacing w:val="10"/>
                <w:sz w:val="15"/>
                <w:szCs w:val="15"/>
              </w:rPr>
              <w:t>年月日</w:t>
            </w:r>
          </w:p>
        </w:tc>
        <w:tc>
          <w:tcPr>
            <w:tcW w:w="4713" w:type="dxa"/>
          </w:tcPr>
          <w:p>
            <w:pPr>
              <w:spacing w:line="200" w:lineRule="exact"/>
              <w:ind w:firstLine="340" w:firstLineChars="200"/>
              <w:rPr>
                <w:spacing w:val="10"/>
                <w:sz w:val="15"/>
                <w:szCs w:val="15"/>
              </w:rPr>
            </w:pPr>
          </w:p>
          <w:p>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pPr>
              <w:spacing w:line="200" w:lineRule="exact"/>
              <w:rPr>
                <w:spacing w:val="10"/>
                <w:sz w:val="15"/>
                <w:szCs w:val="15"/>
              </w:rPr>
            </w:pPr>
          </w:p>
          <w:p>
            <w:pPr>
              <w:spacing w:line="200" w:lineRule="exact"/>
              <w:rPr>
                <w:spacing w:val="10"/>
                <w:sz w:val="15"/>
                <w:szCs w:val="15"/>
              </w:rPr>
            </w:pPr>
          </w:p>
          <w:p>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pPr>
              <w:spacing w:line="200" w:lineRule="exact"/>
              <w:ind w:firstLine="680" w:firstLineChars="400"/>
              <w:rPr>
                <w:spacing w:val="10"/>
                <w:sz w:val="15"/>
                <w:szCs w:val="15"/>
              </w:rPr>
            </w:pPr>
          </w:p>
          <w:p>
            <w:pPr>
              <w:spacing w:line="200" w:lineRule="exact"/>
              <w:ind w:firstLine="680" w:firstLineChars="400"/>
              <w:rPr>
                <w:spacing w:val="10"/>
                <w:sz w:val="15"/>
                <w:szCs w:val="15"/>
              </w:rPr>
            </w:pPr>
            <w:r>
              <w:rPr>
                <w:spacing w:val="10"/>
                <w:sz w:val="15"/>
                <w:szCs w:val="15"/>
              </w:rPr>
              <w:t>年月日</w:t>
            </w:r>
          </w:p>
        </w:tc>
      </w:tr>
    </w:tbl>
    <w:p>
      <w:pPr>
        <w:spacing w:line="200" w:lineRule="exact"/>
        <w:rPr>
          <w:spacing w:val="10"/>
          <w:sz w:val="15"/>
          <w:szCs w:val="15"/>
        </w:rPr>
      </w:pPr>
    </w:p>
    <w:p>
      <w:pPr>
        <w:pStyle w:val="61"/>
        <w:spacing w:line="360" w:lineRule="auto"/>
        <w:ind w:firstLine="0" w:firstLineChars="0"/>
        <w:jc w:val="center"/>
        <w:sectPr>
          <w:headerReference r:id="rId5" w:type="default"/>
          <w:footerReference r:id="rId6" w:type="default"/>
          <w:pgSz w:w="11906" w:h="16838"/>
          <w:pgMar w:top="720" w:right="720" w:bottom="720" w:left="720" w:header="851" w:footer="992" w:gutter="0"/>
          <w:cols w:space="720" w:num="1"/>
          <w:docGrid w:type="lines" w:linePitch="312" w:charSpace="0"/>
        </w:sectPr>
      </w:pPr>
    </w:p>
    <w:p>
      <w:pPr>
        <w:pStyle w:val="61"/>
        <w:spacing w:line="360" w:lineRule="auto"/>
        <w:ind w:firstLine="0" w:firstLineChars="0"/>
        <w:jc w:val="center"/>
        <w:rPr>
          <w:rFonts w:ascii="宋体" w:hAnsi="宋体" w:cs="宋体"/>
          <w:b/>
          <w:sz w:val="22"/>
          <w:szCs w:val="22"/>
        </w:rPr>
      </w:pPr>
      <w:r>
        <w:rPr>
          <w:rFonts w:hint="eastAsia" w:ascii="黑体" w:hAnsi="黑体" w:eastAsia="黑体" w:cs="黑体"/>
          <w:b/>
          <w:kern w:val="0"/>
          <w:sz w:val="24"/>
          <w:szCs w:val="24"/>
        </w:rPr>
        <w:t>理财产品投资协议书</w:t>
      </w:r>
    </w:p>
    <w:p>
      <w:pPr>
        <w:pStyle w:val="61"/>
        <w:spacing w:line="360" w:lineRule="auto"/>
        <w:ind w:firstLine="400"/>
        <w:rPr>
          <w:rFonts w:ascii="宋体" w:hAnsi="宋体" w:cs="宋体"/>
          <w:sz w:val="20"/>
          <w:szCs w:val="21"/>
        </w:rPr>
      </w:pPr>
      <w:r>
        <w:rPr>
          <w:rFonts w:hint="eastAsia" w:ascii="宋体" w:hAnsi="宋体" w:cs="宋体"/>
          <w:sz w:val="20"/>
          <w:szCs w:val="21"/>
        </w:rPr>
        <w:t>经南银理财有限责任公司（下称“甲方”或“理财产品管理人”）与投资者（下称“乙方”）协商一致，就乙方购买的对应期次理财产品投资事宜，达成如下协议：</w:t>
      </w:r>
    </w:p>
    <w:p>
      <w:pPr>
        <w:pStyle w:val="61"/>
        <w:spacing w:line="360" w:lineRule="auto"/>
        <w:ind w:firstLine="442" w:firstLineChars="0"/>
        <w:rPr>
          <w:rFonts w:ascii="宋体" w:hAnsi="宋体" w:cs="宋体"/>
          <w:b/>
          <w:bCs/>
          <w:sz w:val="20"/>
          <w:szCs w:val="21"/>
        </w:rPr>
      </w:pPr>
      <w:r>
        <w:rPr>
          <w:rFonts w:hint="eastAsia" w:ascii="宋体" w:hAnsi="宋体" w:cs="宋体"/>
          <w:b/>
          <w:bCs/>
          <w:sz w:val="20"/>
          <w:szCs w:val="21"/>
        </w:rPr>
        <w:t>一、重要提示</w:t>
      </w:r>
    </w:p>
    <w:p>
      <w:pPr>
        <w:pStyle w:val="61"/>
        <w:spacing w:line="360" w:lineRule="auto"/>
        <w:ind w:firstLine="440" w:firstLineChars="0"/>
        <w:rPr>
          <w:rFonts w:ascii="宋体" w:hAnsi="宋体" w:cs="宋体"/>
          <w:sz w:val="20"/>
          <w:szCs w:val="21"/>
        </w:rPr>
      </w:pPr>
      <w:r>
        <w:rPr>
          <w:rFonts w:hint="eastAsia" w:ascii="宋体" w:hAnsi="宋体" w:cs="宋体"/>
          <w:b/>
          <w:sz w:val="20"/>
          <w:szCs w:val="21"/>
        </w:rPr>
        <w:t>理财非存款、产品有风险、投资须谨慎。</w:t>
      </w:r>
      <w:r>
        <w:rPr>
          <w:rFonts w:hint="eastAsia" w:ascii="宋体" w:hAnsi="宋体" w:cs="宋体"/>
          <w:sz w:val="20"/>
          <w:szCs w:val="21"/>
        </w:rPr>
        <w:t>理财产品面临</w:t>
      </w:r>
      <w:r>
        <w:rPr>
          <w:rFonts w:ascii="宋体" w:hAnsi="宋体" w:cs="宋体"/>
          <w:sz w:val="20"/>
          <w:szCs w:val="21"/>
        </w:rPr>
        <w:t>的风险详见</w:t>
      </w:r>
      <w:r>
        <w:rPr>
          <w:rFonts w:hint="eastAsia" w:ascii="宋体" w:hAnsi="宋体" w:cs="宋体"/>
          <w:sz w:val="20"/>
          <w:szCs w:val="21"/>
        </w:rPr>
        <w:t>对应期次《理财产品风险揭示书》和《理财产品说明书》的详细条款，乙方</w:t>
      </w:r>
      <w:r>
        <w:rPr>
          <w:rFonts w:ascii="宋体" w:hAnsi="宋体" w:cs="宋体"/>
          <w:sz w:val="20"/>
          <w:szCs w:val="21"/>
        </w:rPr>
        <w:t>应</w:t>
      </w:r>
      <w:r>
        <w:rPr>
          <w:rFonts w:hint="eastAsia" w:ascii="宋体" w:hAnsi="宋体" w:cs="宋体"/>
          <w:sz w:val="20"/>
          <w:szCs w:val="21"/>
        </w:rPr>
        <w:t>仔细阅读并充分理解对应期次理财产品可能</w:t>
      </w:r>
      <w:r>
        <w:rPr>
          <w:rFonts w:ascii="宋体" w:hAnsi="宋体" w:cs="宋体"/>
          <w:sz w:val="20"/>
          <w:szCs w:val="21"/>
        </w:rPr>
        <w:t>发生的风险</w:t>
      </w:r>
      <w:r>
        <w:rPr>
          <w:rFonts w:hint="eastAsia" w:ascii="宋体" w:hAnsi="宋体" w:cs="宋体"/>
          <w:sz w:val="20"/>
          <w:szCs w:val="21"/>
        </w:rPr>
        <w:t>。</w:t>
      </w:r>
    </w:p>
    <w:p>
      <w:pPr>
        <w:pStyle w:val="61"/>
        <w:spacing w:line="360" w:lineRule="auto"/>
        <w:ind w:firstLine="442" w:firstLineChars="0"/>
        <w:rPr>
          <w:rFonts w:ascii="宋体" w:hAnsi="宋体" w:cs="宋体"/>
          <w:b/>
          <w:bCs/>
          <w:sz w:val="20"/>
          <w:szCs w:val="21"/>
        </w:rPr>
      </w:pPr>
      <w:r>
        <w:rPr>
          <w:rFonts w:hint="eastAsia" w:ascii="宋体" w:hAnsi="宋体" w:cs="宋体"/>
          <w:b/>
          <w:bCs/>
          <w:sz w:val="20"/>
          <w:szCs w:val="21"/>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pPr>
        <w:pStyle w:val="61"/>
        <w:spacing w:line="360" w:lineRule="auto"/>
        <w:ind w:firstLine="402"/>
        <w:rPr>
          <w:rFonts w:ascii="宋体" w:hAnsi="宋体" w:cs="宋体"/>
          <w:b/>
          <w:sz w:val="20"/>
          <w:szCs w:val="21"/>
        </w:rPr>
      </w:pPr>
      <w:r>
        <w:rPr>
          <w:rFonts w:hint="eastAsia" w:ascii="宋体" w:hAnsi="宋体" w:cs="宋体"/>
          <w:b/>
          <w:sz w:val="20"/>
          <w:szCs w:val="21"/>
        </w:rPr>
        <w:t>二、</w:t>
      </w:r>
      <w:r>
        <w:rPr>
          <w:rFonts w:ascii="宋体" w:hAnsi="宋体" w:cs="宋体"/>
          <w:b/>
          <w:sz w:val="20"/>
          <w:szCs w:val="21"/>
        </w:rPr>
        <w:t>双方权利与义务</w:t>
      </w:r>
    </w:p>
    <w:p>
      <w:pPr>
        <w:pStyle w:val="61"/>
        <w:spacing w:line="360" w:lineRule="auto"/>
        <w:ind w:firstLine="400"/>
        <w:rPr>
          <w:rFonts w:ascii="宋体" w:hAnsi="宋体" w:cs="宋体"/>
          <w:sz w:val="20"/>
          <w:szCs w:val="21"/>
        </w:rPr>
      </w:pPr>
      <w:r>
        <w:rPr>
          <w:rFonts w:ascii="宋体" w:hAnsi="宋体" w:cs="宋体"/>
          <w:sz w:val="20"/>
          <w:szCs w:val="21"/>
        </w:rPr>
        <w:t>（</w:t>
      </w:r>
      <w:r>
        <w:rPr>
          <w:rFonts w:hint="eastAsia" w:ascii="宋体" w:hAnsi="宋体" w:cs="宋体"/>
          <w:sz w:val="20"/>
          <w:szCs w:val="21"/>
        </w:rPr>
        <w:t>一</w:t>
      </w:r>
      <w:r>
        <w:rPr>
          <w:rFonts w:ascii="宋体" w:hAnsi="宋体" w:cs="宋体"/>
          <w:sz w:val="20"/>
          <w:szCs w:val="21"/>
        </w:rPr>
        <w:t>）</w:t>
      </w:r>
      <w:r>
        <w:rPr>
          <w:rFonts w:hint="eastAsia" w:ascii="宋体" w:hAnsi="宋体" w:cs="宋体"/>
          <w:sz w:val="20"/>
          <w:szCs w:val="21"/>
        </w:rPr>
        <w:t>甲方的权利与义务</w:t>
      </w:r>
    </w:p>
    <w:p>
      <w:pPr>
        <w:pStyle w:val="61"/>
        <w:spacing w:line="360" w:lineRule="auto"/>
        <w:ind w:firstLine="400"/>
        <w:rPr>
          <w:rFonts w:ascii="宋体" w:hAnsi="宋体" w:cs="宋体"/>
          <w:sz w:val="20"/>
          <w:szCs w:val="21"/>
        </w:rPr>
      </w:pPr>
      <w:r>
        <w:rPr>
          <w:rFonts w:hint="eastAsia" w:ascii="宋体" w:hAnsi="宋体" w:cs="宋体"/>
          <w:sz w:val="20"/>
          <w:szCs w:val="21"/>
        </w:rPr>
        <w:t>1.</w:t>
      </w:r>
      <w:r>
        <w:rPr>
          <w:rFonts w:ascii="宋体" w:hAnsi="宋体" w:cs="宋体"/>
          <w:sz w:val="20"/>
          <w:szCs w:val="21"/>
        </w:rPr>
        <w:t>甲方应当履行恪尽职守、勤勉尽责、诚实守信、有效管理的义务。</w:t>
      </w:r>
    </w:p>
    <w:p>
      <w:pPr>
        <w:pStyle w:val="61"/>
        <w:spacing w:line="360" w:lineRule="auto"/>
        <w:ind w:firstLine="400"/>
        <w:rPr>
          <w:rFonts w:ascii="宋体" w:hAnsi="宋体" w:cs="宋体"/>
          <w:sz w:val="20"/>
          <w:szCs w:val="21"/>
        </w:rPr>
      </w:pPr>
      <w:r>
        <w:rPr>
          <w:rFonts w:hint="eastAsia" w:ascii="宋体" w:hAnsi="宋体" w:cs="宋体"/>
          <w:sz w:val="20"/>
          <w:szCs w:val="21"/>
        </w:rPr>
        <w:t>2.按照法律法规及</w:t>
      </w:r>
      <w:r>
        <w:rPr>
          <w:rFonts w:ascii="宋体" w:hAnsi="宋体" w:cs="宋体"/>
          <w:sz w:val="20"/>
          <w:szCs w:val="21"/>
        </w:rPr>
        <w:t>对应期次</w:t>
      </w:r>
      <w:r>
        <w:rPr>
          <w:rFonts w:hint="eastAsia" w:ascii="宋体" w:hAnsi="宋体" w:cs="宋体"/>
          <w:sz w:val="20"/>
          <w:szCs w:val="21"/>
        </w:rPr>
        <w:t>《理财产品说明书》</w:t>
      </w:r>
      <w:r>
        <w:rPr>
          <w:rFonts w:ascii="宋体" w:hAnsi="宋体" w:cs="宋体"/>
          <w:sz w:val="20"/>
          <w:szCs w:val="21"/>
        </w:rPr>
        <w:t>约定的投资范围和权限内，甲方拥有管理和运用理财资金的权利。</w:t>
      </w:r>
    </w:p>
    <w:p>
      <w:pPr>
        <w:pStyle w:val="61"/>
        <w:spacing w:line="360" w:lineRule="auto"/>
        <w:ind w:firstLine="400"/>
        <w:rPr>
          <w:rFonts w:ascii="宋体" w:hAnsi="宋体" w:cs="宋体"/>
          <w:sz w:val="20"/>
          <w:szCs w:val="21"/>
        </w:rPr>
      </w:pPr>
      <w:r>
        <w:rPr>
          <w:rFonts w:hint="eastAsia" w:ascii="宋体" w:hAnsi="宋体" w:cs="宋体"/>
          <w:sz w:val="20"/>
          <w:szCs w:val="21"/>
        </w:rPr>
        <w:t>3.</w:t>
      </w:r>
      <w:r>
        <w:rPr>
          <w:rFonts w:ascii="宋体" w:hAnsi="宋体" w:cs="宋体"/>
          <w:sz w:val="20"/>
          <w:szCs w:val="21"/>
        </w:rPr>
        <w:t>甲方应当按照对应期次</w:t>
      </w:r>
      <w:r>
        <w:rPr>
          <w:rFonts w:hint="eastAsia" w:ascii="宋体" w:hAnsi="宋体" w:cs="宋体"/>
          <w:sz w:val="20"/>
          <w:szCs w:val="21"/>
        </w:rPr>
        <w:t>《理财产品说明书》的</w:t>
      </w:r>
      <w:r>
        <w:rPr>
          <w:rFonts w:ascii="宋体" w:hAnsi="宋体" w:cs="宋体"/>
          <w:sz w:val="20"/>
          <w:szCs w:val="21"/>
        </w:rPr>
        <w:t>约定向</w:t>
      </w:r>
      <w:r>
        <w:rPr>
          <w:rFonts w:hint="eastAsia" w:ascii="宋体" w:hAnsi="宋体" w:cs="宋体"/>
          <w:sz w:val="20"/>
          <w:szCs w:val="21"/>
        </w:rPr>
        <w:t>乙方</w:t>
      </w:r>
      <w:r>
        <w:rPr>
          <w:rFonts w:ascii="宋体" w:hAnsi="宋体" w:cs="宋体"/>
          <w:sz w:val="20"/>
          <w:szCs w:val="21"/>
        </w:rPr>
        <w:t>分配收益</w:t>
      </w:r>
      <w:r>
        <w:rPr>
          <w:rFonts w:hint="eastAsia" w:ascii="宋体" w:hAnsi="宋体" w:cs="宋体"/>
          <w:sz w:val="20"/>
          <w:szCs w:val="21"/>
        </w:rPr>
        <w:t>。</w:t>
      </w:r>
    </w:p>
    <w:p>
      <w:pPr>
        <w:pStyle w:val="61"/>
        <w:spacing w:line="360" w:lineRule="auto"/>
        <w:ind w:firstLine="400"/>
        <w:rPr>
          <w:rFonts w:ascii="宋体" w:hAnsi="宋体" w:cs="宋体"/>
          <w:sz w:val="20"/>
          <w:szCs w:val="21"/>
        </w:rPr>
      </w:pPr>
      <w:r>
        <w:rPr>
          <w:rFonts w:hint="eastAsia" w:ascii="宋体" w:hAnsi="宋体" w:cs="宋体"/>
          <w:sz w:val="20"/>
          <w:szCs w:val="21"/>
        </w:rPr>
        <w:t>4.甲方</w:t>
      </w:r>
      <w:r>
        <w:rPr>
          <w:rFonts w:ascii="宋体" w:hAnsi="宋体" w:cs="宋体"/>
          <w:sz w:val="20"/>
          <w:szCs w:val="21"/>
        </w:rPr>
        <w:t>有权按照对应期次《理财产品说明书》的约定收取相应费用。</w:t>
      </w:r>
    </w:p>
    <w:p>
      <w:pPr>
        <w:pStyle w:val="61"/>
        <w:spacing w:line="360" w:lineRule="auto"/>
        <w:ind w:firstLine="400"/>
        <w:rPr>
          <w:rFonts w:ascii="宋体" w:hAnsi="宋体" w:cs="宋体"/>
          <w:sz w:val="20"/>
          <w:szCs w:val="21"/>
        </w:rPr>
      </w:pPr>
      <w:r>
        <w:rPr>
          <w:rFonts w:hint="eastAsia" w:ascii="宋体" w:hAnsi="宋体" w:cs="宋体"/>
          <w:sz w:val="20"/>
          <w:szCs w:val="21"/>
        </w:rPr>
        <w:t>5.</w:t>
      </w:r>
      <w:r>
        <w:rPr>
          <w:rFonts w:ascii="宋体" w:hAnsi="宋体" w:cs="宋体"/>
          <w:sz w:val="20"/>
          <w:szCs w:val="21"/>
        </w:rPr>
        <w:t>由于投资管理或者获取投资标的的需要，甲方有权决定以理财产品财产支付</w:t>
      </w:r>
      <w:r>
        <w:rPr>
          <w:rFonts w:hint="eastAsia" w:ascii="宋体" w:hAnsi="宋体" w:cs="宋体"/>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pPr>
        <w:pStyle w:val="61"/>
        <w:spacing w:line="360" w:lineRule="auto"/>
        <w:ind w:firstLine="400"/>
        <w:rPr>
          <w:rFonts w:ascii="宋体" w:hAnsi="宋体" w:cs="宋体"/>
          <w:b/>
          <w:bCs/>
          <w:sz w:val="20"/>
          <w:szCs w:val="21"/>
        </w:rPr>
      </w:pPr>
      <w:r>
        <w:rPr>
          <w:rFonts w:hint="eastAsia" w:ascii="宋体" w:hAnsi="宋体" w:cs="宋体"/>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pPr>
        <w:pStyle w:val="61"/>
        <w:spacing w:line="360" w:lineRule="auto"/>
        <w:ind w:firstLine="440" w:firstLineChars="0"/>
        <w:rPr>
          <w:rFonts w:ascii="宋体" w:hAnsi="宋体" w:cs="宋体"/>
          <w:sz w:val="20"/>
          <w:szCs w:val="21"/>
        </w:rPr>
      </w:pPr>
      <w:r>
        <w:rPr>
          <w:rFonts w:hint="eastAsia" w:ascii="宋体" w:hAnsi="宋体" w:cs="宋体"/>
          <w:sz w:val="20"/>
          <w:szCs w:val="21"/>
        </w:rPr>
        <w:t>7.</w:t>
      </w:r>
      <w:r>
        <w:rPr>
          <w:rFonts w:ascii="宋体" w:hAnsi="宋体" w:cs="宋体"/>
          <w:sz w:val="20"/>
          <w:szCs w:val="21"/>
        </w:rPr>
        <w:t>甲方有权根据产品运作的需要选任必要的业务合作机构</w:t>
      </w:r>
      <w:r>
        <w:rPr>
          <w:rFonts w:hint="eastAsia" w:ascii="宋体" w:hAnsi="宋体" w:cs="宋体"/>
          <w:sz w:val="20"/>
          <w:szCs w:val="21"/>
        </w:rPr>
        <w:t>，并确定合作模式等相关内容。</w:t>
      </w:r>
    </w:p>
    <w:p>
      <w:pPr>
        <w:pStyle w:val="61"/>
        <w:spacing w:line="360" w:lineRule="auto"/>
        <w:ind w:firstLine="440" w:firstLineChars="0"/>
        <w:rPr>
          <w:rFonts w:ascii="宋体" w:hAnsi="宋体" w:cs="宋体"/>
          <w:b/>
          <w:bCs/>
          <w:sz w:val="20"/>
          <w:szCs w:val="21"/>
        </w:rPr>
      </w:pPr>
      <w:r>
        <w:rPr>
          <w:rFonts w:hint="eastAsia" w:ascii="宋体" w:hAnsi="宋体" w:cs="宋体"/>
          <w:sz w:val="20"/>
          <w:szCs w:val="21"/>
        </w:rPr>
        <w:t>8.</w:t>
      </w:r>
      <w:r>
        <w:rPr>
          <w:rFonts w:hint="eastAsia" w:ascii="宋体" w:hAnsi="宋体" w:cs="宋体"/>
          <w:b/>
          <w:bCs/>
          <w:sz w:val="20"/>
          <w:szCs w:val="21"/>
        </w:rPr>
        <w:t>在本理财产品存续期内：</w:t>
      </w:r>
    </w:p>
    <w:p>
      <w:pPr>
        <w:pStyle w:val="61"/>
        <w:spacing w:line="360" w:lineRule="auto"/>
        <w:ind w:firstLine="440" w:firstLineChars="0"/>
        <w:rPr>
          <w:rFonts w:ascii="宋体" w:hAnsi="宋体" w:cs="宋体"/>
          <w:b/>
          <w:bCs/>
          <w:sz w:val="20"/>
          <w:szCs w:val="21"/>
        </w:rPr>
      </w:pPr>
      <w:r>
        <w:rPr>
          <w:rFonts w:hint="eastAsia" w:ascii="宋体" w:hAnsi="宋体" w:cs="宋体"/>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pPr>
        <w:pStyle w:val="61"/>
        <w:spacing w:line="360" w:lineRule="auto"/>
        <w:ind w:firstLine="440" w:firstLineChars="0"/>
        <w:rPr>
          <w:rFonts w:ascii="宋体" w:hAnsi="宋体" w:cs="宋体"/>
          <w:b/>
          <w:bCs/>
          <w:sz w:val="20"/>
          <w:szCs w:val="21"/>
        </w:rPr>
      </w:pPr>
      <w:r>
        <w:rPr>
          <w:rFonts w:hint="eastAsia" w:ascii="宋体" w:hAnsi="宋体" w:cs="宋体"/>
          <w:b/>
          <w:bCs/>
          <w:sz w:val="20"/>
          <w:szCs w:val="21"/>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pPr>
        <w:pStyle w:val="61"/>
        <w:spacing w:line="360" w:lineRule="auto"/>
        <w:ind w:firstLine="440" w:firstLineChars="0"/>
        <w:rPr>
          <w:rFonts w:ascii="宋体" w:hAnsi="宋体" w:cs="宋体"/>
          <w:b/>
          <w:bCs/>
          <w:sz w:val="20"/>
          <w:szCs w:val="21"/>
        </w:rPr>
      </w:pPr>
      <w:r>
        <w:rPr>
          <w:rFonts w:hint="eastAsia" w:ascii="宋体" w:hAnsi="宋体" w:cs="宋体"/>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pPr>
        <w:pStyle w:val="61"/>
        <w:spacing w:line="360" w:lineRule="auto"/>
        <w:ind w:firstLine="440" w:firstLineChars="0"/>
        <w:rPr>
          <w:rFonts w:ascii="宋体" w:hAnsi="宋体" w:cs="宋体"/>
          <w:sz w:val="20"/>
          <w:szCs w:val="21"/>
        </w:rPr>
      </w:pPr>
      <w:r>
        <w:rPr>
          <w:rFonts w:hint="eastAsia" w:ascii="宋体" w:hAnsi="宋体" w:cs="宋体"/>
          <w:sz w:val="20"/>
          <w:szCs w:val="21"/>
        </w:rPr>
        <w:t>10.法律法规规定或理财产品销售文件约定的其它权利及义务。</w:t>
      </w:r>
    </w:p>
    <w:p>
      <w:pPr>
        <w:pStyle w:val="61"/>
        <w:spacing w:line="360" w:lineRule="auto"/>
        <w:ind w:firstLine="400"/>
        <w:rPr>
          <w:rFonts w:ascii="宋体" w:hAnsi="宋体" w:cs="宋体"/>
          <w:sz w:val="20"/>
          <w:szCs w:val="21"/>
        </w:rPr>
      </w:pPr>
      <w:r>
        <w:rPr>
          <w:rFonts w:hint="eastAsia" w:ascii="宋体" w:hAnsi="宋体" w:cs="宋体"/>
          <w:sz w:val="20"/>
          <w:szCs w:val="21"/>
        </w:rPr>
        <w:t>（二）乙方的权利与义务</w:t>
      </w:r>
    </w:p>
    <w:p>
      <w:pPr>
        <w:pStyle w:val="61"/>
        <w:spacing w:line="360" w:lineRule="auto"/>
        <w:ind w:firstLine="440" w:firstLineChars="0"/>
        <w:rPr>
          <w:rFonts w:ascii="宋体" w:hAnsi="宋体" w:cs="宋体"/>
          <w:sz w:val="20"/>
          <w:szCs w:val="21"/>
        </w:rPr>
      </w:pPr>
      <w:r>
        <w:rPr>
          <w:rFonts w:hint="eastAsia" w:ascii="宋体" w:hAnsi="宋体" w:cs="宋体"/>
          <w:sz w:val="20"/>
          <w:szCs w:val="21"/>
        </w:rPr>
        <w:t>1.</w:t>
      </w:r>
      <w:r>
        <w:rPr>
          <w:rFonts w:ascii="宋体" w:hAnsi="宋体" w:cs="宋体"/>
          <w:sz w:val="20"/>
          <w:szCs w:val="21"/>
        </w:rPr>
        <w:t>乙方保证具有完全民事行为能力，</w:t>
      </w:r>
      <w:r>
        <w:rPr>
          <w:rFonts w:hint="eastAsia" w:ascii="宋体" w:hAnsi="宋体" w:cs="宋体"/>
          <w:sz w:val="20"/>
          <w:szCs w:val="21"/>
        </w:rPr>
        <w:t>有完全适当的资格与能力订立并履行本协议。</w:t>
      </w:r>
    </w:p>
    <w:p>
      <w:pPr>
        <w:pStyle w:val="61"/>
        <w:spacing w:line="360" w:lineRule="auto"/>
        <w:ind w:firstLine="440" w:firstLineChars="0"/>
        <w:rPr>
          <w:rFonts w:ascii="宋体" w:hAnsi="宋体" w:cs="宋体"/>
          <w:sz w:val="20"/>
          <w:szCs w:val="21"/>
        </w:rPr>
      </w:pPr>
      <w:r>
        <w:rPr>
          <w:rFonts w:hint="eastAsia" w:ascii="宋体" w:hAnsi="宋体" w:cs="宋体"/>
          <w:sz w:val="20"/>
          <w:szCs w:val="21"/>
        </w:rPr>
        <w:t>2.</w:t>
      </w:r>
      <w:r>
        <w:rPr>
          <w:rFonts w:ascii="宋体" w:hAnsi="宋体" w:cs="宋体"/>
          <w:sz w:val="20"/>
          <w:szCs w:val="21"/>
        </w:rPr>
        <w:t>乙方能够自行识别、判断和承担理财产品的相关风险；不存在法律法规、有权机关或主管机关禁止或限制</w:t>
      </w:r>
      <w:r>
        <w:rPr>
          <w:rFonts w:hint="eastAsia" w:ascii="宋体" w:hAnsi="宋体" w:cs="宋体"/>
          <w:sz w:val="20"/>
          <w:szCs w:val="21"/>
        </w:rPr>
        <w:t>购买</w:t>
      </w:r>
      <w:r>
        <w:rPr>
          <w:rFonts w:ascii="宋体" w:hAnsi="宋体" w:cs="宋体"/>
          <w:sz w:val="20"/>
          <w:szCs w:val="21"/>
        </w:rPr>
        <w:t>理财产品的各种情形。乙方按其</w:t>
      </w:r>
      <w:r>
        <w:rPr>
          <w:rFonts w:hint="eastAsia" w:ascii="宋体" w:hAnsi="宋体" w:cs="宋体"/>
          <w:sz w:val="20"/>
          <w:szCs w:val="21"/>
        </w:rPr>
        <w:t>购买</w:t>
      </w:r>
      <w:r>
        <w:rPr>
          <w:rFonts w:ascii="宋体" w:hAnsi="宋体" w:cs="宋体"/>
          <w:sz w:val="20"/>
          <w:szCs w:val="21"/>
        </w:rPr>
        <w:t>金额在</w:t>
      </w:r>
      <w:r>
        <w:rPr>
          <w:rFonts w:hint="eastAsia" w:ascii="宋体" w:hAnsi="宋体" w:cs="宋体"/>
          <w:sz w:val="20"/>
          <w:szCs w:val="21"/>
        </w:rPr>
        <w:t>对应期次</w:t>
      </w:r>
      <w:r>
        <w:rPr>
          <w:rFonts w:ascii="宋体" w:hAnsi="宋体" w:cs="宋体"/>
          <w:sz w:val="20"/>
          <w:szCs w:val="21"/>
        </w:rPr>
        <w:t>理财协议中享有相应的权利，承担相应的义务和风险。</w:t>
      </w:r>
    </w:p>
    <w:p>
      <w:pPr>
        <w:pStyle w:val="61"/>
        <w:spacing w:line="360" w:lineRule="auto"/>
        <w:ind w:firstLine="400"/>
        <w:rPr>
          <w:rFonts w:ascii="宋体" w:hAnsi="宋体" w:cs="宋体"/>
          <w:sz w:val="20"/>
          <w:szCs w:val="21"/>
        </w:rPr>
      </w:pPr>
      <w:r>
        <w:rPr>
          <w:rFonts w:ascii="宋体" w:hAnsi="宋体" w:cs="宋体"/>
          <w:sz w:val="20"/>
          <w:szCs w:val="21"/>
        </w:rPr>
        <w:t>3</w:t>
      </w:r>
      <w:r>
        <w:rPr>
          <w:rFonts w:hint="eastAsia" w:ascii="宋体" w:hAnsi="宋体" w:cs="宋体"/>
          <w:sz w:val="20"/>
          <w:szCs w:val="21"/>
        </w:rPr>
        <w:t>.</w:t>
      </w:r>
      <w:r>
        <w:rPr>
          <w:rFonts w:ascii="宋体" w:hAnsi="宋体" w:cs="宋体"/>
          <w:sz w:val="20"/>
          <w:szCs w:val="21"/>
        </w:rPr>
        <w:t>乙方自愿</w:t>
      </w:r>
      <w:r>
        <w:rPr>
          <w:rFonts w:hint="eastAsia" w:ascii="宋体" w:hAnsi="宋体" w:cs="宋体"/>
          <w:sz w:val="20"/>
          <w:szCs w:val="21"/>
        </w:rPr>
        <w:t>购买</w:t>
      </w:r>
      <w:r>
        <w:rPr>
          <w:rFonts w:ascii="宋体" w:hAnsi="宋体" w:cs="宋体"/>
          <w:sz w:val="20"/>
          <w:szCs w:val="21"/>
        </w:rPr>
        <w:t>甲方管理的理财产品，接受甲方提供的投资理财服务。</w:t>
      </w:r>
      <w:r>
        <w:rPr>
          <w:rFonts w:hint="eastAsia" w:ascii="宋体" w:hAnsi="宋体" w:cs="宋体"/>
          <w:sz w:val="20"/>
          <w:szCs w:val="21"/>
        </w:rPr>
        <w:t>甲方向乙方提供的市场分析和预测（如有）仅供参考，乙方据此做出的任何决策均出于乙方自身的判断，甲方不承担任何责任。</w:t>
      </w:r>
    </w:p>
    <w:p>
      <w:pPr>
        <w:pStyle w:val="61"/>
        <w:spacing w:line="360" w:lineRule="auto"/>
        <w:ind w:firstLine="400"/>
        <w:rPr>
          <w:rFonts w:ascii="宋体" w:hAnsi="宋体" w:cs="宋体"/>
          <w:sz w:val="20"/>
          <w:szCs w:val="21"/>
        </w:rPr>
      </w:pPr>
      <w:r>
        <w:rPr>
          <w:rFonts w:hint="eastAsia" w:ascii="宋体" w:hAnsi="宋体" w:cs="宋体"/>
          <w:sz w:val="20"/>
          <w:szCs w:val="21"/>
        </w:rPr>
        <w:t>4.</w:t>
      </w:r>
      <w:r>
        <w:rPr>
          <w:rFonts w:ascii="宋体" w:hAnsi="宋体" w:cs="宋体"/>
          <w:sz w:val="20"/>
          <w:szCs w:val="21"/>
        </w:rPr>
        <w:t>乙方已仔细阅读</w:t>
      </w:r>
      <w:r>
        <w:rPr>
          <w:rFonts w:hint="eastAsia" w:ascii="宋体" w:hAnsi="宋体" w:cs="宋体"/>
          <w:sz w:val="20"/>
          <w:szCs w:val="21"/>
        </w:rPr>
        <w:t>《投资者权益须知》</w:t>
      </w:r>
      <w:r>
        <w:rPr>
          <w:rFonts w:ascii="宋体" w:hAnsi="宋体" w:cs="宋体"/>
          <w:sz w:val="20"/>
          <w:szCs w:val="21"/>
        </w:rPr>
        <w:t>《理财产品说明书》</w:t>
      </w:r>
      <w:r>
        <w:rPr>
          <w:rFonts w:hint="eastAsia" w:ascii="宋体" w:hAnsi="宋体" w:cs="宋体"/>
          <w:sz w:val="20"/>
          <w:szCs w:val="21"/>
        </w:rPr>
        <w:t>并清楚知晓其内容，接受并签署《理财产品风险揭示书》《</w:t>
      </w:r>
      <w:r>
        <w:rPr>
          <w:rFonts w:ascii="宋体" w:hAnsi="宋体" w:cs="宋体"/>
          <w:sz w:val="20"/>
          <w:szCs w:val="21"/>
        </w:rPr>
        <w:t>理财产品销售协议书》</w:t>
      </w:r>
      <w:r>
        <w:rPr>
          <w:rFonts w:hint="eastAsia" w:ascii="宋体" w:hAnsi="宋体" w:cs="宋体"/>
          <w:sz w:val="20"/>
          <w:szCs w:val="21"/>
        </w:rPr>
        <w:t>和本协议。</w:t>
      </w:r>
    </w:p>
    <w:p>
      <w:pPr>
        <w:pStyle w:val="61"/>
        <w:spacing w:line="360" w:lineRule="auto"/>
        <w:ind w:firstLine="440" w:firstLineChars="0"/>
        <w:rPr>
          <w:rFonts w:ascii="宋体" w:hAnsi="宋体" w:cs="宋体"/>
          <w:sz w:val="20"/>
          <w:szCs w:val="21"/>
        </w:rPr>
      </w:pPr>
      <w:r>
        <w:rPr>
          <w:rFonts w:hint="eastAsia" w:ascii="宋体" w:hAnsi="宋体" w:cs="宋体"/>
          <w:sz w:val="20"/>
          <w:szCs w:val="21"/>
        </w:rPr>
        <w:t>5.乙方</w:t>
      </w:r>
      <w:r>
        <w:rPr>
          <w:rFonts w:ascii="宋体" w:hAnsi="宋体" w:cs="宋体"/>
          <w:sz w:val="20"/>
          <w:szCs w:val="21"/>
        </w:rPr>
        <w:t>已充分知悉</w:t>
      </w:r>
      <w:r>
        <w:rPr>
          <w:rFonts w:hint="eastAsia" w:ascii="宋体" w:hAnsi="宋体" w:cs="宋体"/>
          <w:sz w:val="20"/>
          <w:szCs w:val="21"/>
        </w:rPr>
        <w:t>对应期次</w:t>
      </w:r>
      <w:r>
        <w:rPr>
          <w:rFonts w:ascii="宋体" w:hAnsi="宋体" w:cs="宋体"/>
          <w:sz w:val="20"/>
          <w:szCs w:val="21"/>
        </w:rPr>
        <w:t>理财产品风险等级</w:t>
      </w:r>
      <w:r>
        <w:rPr>
          <w:rFonts w:hint="eastAsia" w:ascii="宋体" w:hAnsi="宋体" w:cs="宋体"/>
          <w:sz w:val="20"/>
          <w:szCs w:val="21"/>
        </w:rPr>
        <w:t>（该产品通过代理销售机构渠道销售的，理财产品评级应当以代理销售机构最终披露的评级结果为准）</w:t>
      </w:r>
      <w:r>
        <w:rPr>
          <w:rFonts w:ascii="宋体" w:hAnsi="宋体" w:cs="宋体"/>
          <w:sz w:val="20"/>
          <w:szCs w:val="21"/>
        </w:rPr>
        <w:t>，并确定以相应理财资金</w:t>
      </w:r>
      <w:r>
        <w:rPr>
          <w:rFonts w:hint="eastAsia" w:ascii="宋体" w:hAnsi="宋体" w:cs="宋体"/>
          <w:sz w:val="20"/>
          <w:szCs w:val="21"/>
        </w:rPr>
        <w:t>购买对应期次</w:t>
      </w:r>
      <w:r>
        <w:rPr>
          <w:rFonts w:ascii="宋体" w:hAnsi="宋体" w:cs="宋体"/>
          <w:sz w:val="20"/>
          <w:szCs w:val="21"/>
        </w:rPr>
        <w:t>理财产品，乙方承诺由此产生的相关风险由其自身承担。</w:t>
      </w:r>
    </w:p>
    <w:p>
      <w:pPr>
        <w:pStyle w:val="61"/>
        <w:spacing w:line="360" w:lineRule="auto"/>
        <w:ind w:firstLine="442" w:firstLineChars="0"/>
        <w:rPr>
          <w:rFonts w:ascii="宋体" w:hAnsi="宋体" w:cs="宋体"/>
          <w:b/>
          <w:bCs/>
          <w:sz w:val="20"/>
          <w:szCs w:val="21"/>
        </w:rPr>
      </w:pPr>
      <w:r>
        <w:rPr>
          <w:rFonts w:hint="eastAsia" w:ascii="宋体" w:hAnsi="宋体" w:cs="宋体"/>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pPr>
        <w:pStyle w:val="61"/>
        <w:spacing w:line="360" w:lineRule="auto"/>
        <w:ind w:firstLine="442" w:firstLineChars="0"/>
        <w:rPr>
          <w:rFonts w:ascii="宋体" w:hAnsi="宋体" w:cs="宋体"/>
          <w:b/>
          <w:bCs/>
          <w:sz w:val="20"/>
          <w:szCs w:val="21"/>
        </w:rPr>
      </w:pPr>
      <w:r>
        <w:rPr>
          <w:rFonts w:hint="eastAsia" w:ascii="宋体" w:hAnsi="宋体" w:cs="宋体"/>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pPr>
        <w:pStyle w:val="61"/>
        <w:spacing w:line="360" w:lineRule="auto"/>
        <w:ind w:firstLine="440" w:firstLineChars="0"/>
        <w:rPr>
          <w:rFonts w:ascii="宋体" w:hAnsi="宋体" w:cs="宋体"/>
          <w:b/>
          <w:bCs/>
          <w:sz w:val="20"/>
          <w:szCs w:val="21"/>
        </w:rPr>
      </w:pPr>
      <w:r>
        <w:rPr>
          <w:rFonts w:ascii="宋体" w:hAnsi="宋体" w:cs="宋体"/>
          <w:b/>
          <w:bCs/>
          <w:sz w:val="20"/>
          <w:szCs w:val="21"/>
        </w:rPr>
        <w:t>8</w:t>
      </w:r>
      <w:r>
        <w:rPr>
          <w:rFonts w:hint="eastAsia" w:ascii="宋体" w:hAnsi="宋体" w:cs="宋体"/>
          <w:sz w:val="20"/>
          <w:szCs w:val="21"/>
        </w:rPr>
        <w:t>.</w:t>
      </w:r>
      <w:r>
        <w:rPr>
          <w:rFonts w:hint="eastAsia" w:ascii="宋体" w:hAnsi="宋体" w:cs="宋体"/>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pPr>
        <w:pStyle w:val="61"/>
        <w:spacing w:line="360" w:lineRule="auto"/>
        <w:ind w:firstLine="442" w:firstLineChars="0"/>
        <w:rPr>
          <w:rFonts w:ascii="宋体" w:hAnsi="宋体" w:cs="宋体"/>
          <w:b/>
          <w:bCs/>
          <w:sz w:val="20"/>
          <w:szCs w:val="21"/>
        </w:rPr>
      </w:pPr>
      <w:r>
        <w:rPr>
          <w:rFonts w:hint="eastAsia" w:ascii="宋体" w:hAnsi="宋体" w:cs="宋体"/>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pPr>
        <w:pStyle w:val="61"/>
        <w:spacing w:line="360" w:lineRule="auto"/>
        <w:ind w:firstLine="442" w:firstLineChars="0"/>
        <w:rPr>
          <w:rFonts w:ascii="宋体" w:hAnsi="宋体" w:cs="宋体"/>
          <w:b/>
          <w:bCs/>
          <w:sz w:val="20"/>
          <w:szCs w:val="21"/>
        </w:rPr>
      </w:pPr>
      <w:r>
        <w:rPr>
          <w:rFonts w:hint="eastAsia" w:ascii="宋体" w:hAnsi="宋体" w:cs="宋体"/>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pPr>
        <w:pStyle w:val="61"/>
        <w:spacing w:line="360" w:lineRule="auto"/>
        <w:ind w:firstLine="440" w:firstLineChars="0"/>
        <w:rPr>
          <w:rFonts w:ascii="宋体" w:hAnsi="宋体" w:cs="宋体"/>
          <w:sz w:val="20"/>
          <w:szCs w:val="21"/>
        </w:rPr>
      </w:pPr>
      <w:r>
        <w:rPr>
          <w:rFonts w:hint="eastAsia" w:ascii="宋体" w:hAnsi="宋体" w:cs="宋体"/>
          <w:sz w:val="20"/>
          <w:szCs w:val="21"/>
        </w:rPr>
        <w:t>11.法律法规规定或理财产品销售文件约定的其它权利及义务。</w:t>
      </w:r>
    </w:p>
    <w:p>
      <w:pPr>
        <w:pStyle w:val="61"/>
        <w:spacing w:line="360" w:lineRule="auto"/>
        <w:ind w:firstLine="402"/>
        <w:rPr>
          <w:rFonts w:ascii="宋体" w:hAnsi="宋体" w:cs="宋体"/>
          <w:b/>
          <w:sz w:val="20"/>
          <w:szCs w:val="21"/>
        </w:rPr>
      </w:pPr>
      <w:r>
        <w:rPr>
          <w:rFonts w:hint="eastAsia" w:ascii="宋体" w:hAnsi="宋体" w:cs="宋体"/>
          <w:b/>
          <w:sz w:val="20"/>
          <w:szCs w:val="21"/>
        </w:rPr>
        <w:t>三、协议的生效和终止</w:t>
      </w:r>
    </w:p>
    <w:p>
      <w:pPr>
        <w:pStyle w:val="61"/>
        <w:spacing w:line="360" w:lineRule="auto"/>
        <w:ind w:firstLine="400"/>
        <w:rPr>
          <w:rFonts w:ascii="宋体" w:hAnsi="宋体" w:cs="宋体"/>
          <w:sz w:val="20"/>
          <w:szCs w:val="21"/>
        </w:rPr>
      </w:pPr>
      <w:r>
        <w:rPr>
          <w:rFonts w:hint="eastAsia" w:ascii="宋体" w:hAnsi="宋体" w:cs="宋体"/>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pPr>
        <w:pStyle w:val="61"/>
        <w:spacing w:line="360" w:lineRule="auto"/>
        <w:ind w:firstLine="400"/>
        <w:rPr>
          <w:rFonts w:ascii="宋体" w:hAnsi="宋体" w:cs="宋体"/>
          <w:sz w:val="20"/>
          <w:szCs w:val="21"/>
        </w:rPr>
      </w:pPr>
      <w:r>
        <w:rPr>
          <w:rFonts w:hint="eastAsia" w:ascii="宋体" w:hAnsi="宋体" w:cs="宋体"/>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pPr>
        <w:pStyle w:val="61"/>
        <w:spacing w:line="360" w:lineRule="auto"/>
        <w:ind w:firstLine="400"/>
        <w:rPr>
          <w:rFonts w:ascii="宋体" w:hAnsi="宋体" w:cs="宋体"/>
          <w:sz w:val="20"/>
          <w:szCs w:val="21"/>
        </w:rPr>
      </w:pPr>
      <w:r>
        <w:rPr>
          <w:rFonts w:hint="eastAsia" w:ascii="宋体" w:hAnsi="宋体" w:cs="宋体"/>
          <w:sz w:val="20"/>
          <w:szCs w:val="21"/>
        </w:rPr>
        <w:t>（三）乙方购买理财产品失败、甲方提前终止对应期次理财产品以及对应期次理财产品到期并结清后，本协议自动终止。</w:t>
      </w:r>
    </w:p>
    <w:p>
      <w:pPr>
        <w:pStyle w:val="61"/>
        <w:spacing w:line="360" w:lineRule="auto"/>
        <w:ind w:firstLine="402"/>
        <w:rPr>
          <w:rFonts w:ascii="宋体" w:hAnsi="宋体" w:cs="宋体"/>
          <w:b/>
          <w:bCs/>
          <w:sz w:val="20"/>
          <w:szCs w:val="21"/>
        </w:rPr>
      </w:pPr>
      <w:r>
        <w:rPr>
          <w:rFonts w:hint="eastAsia" w:ascii="宋体" w:hAnsi="宋体" w:cs="宋体"/>
          <w:b/>
          <w:bCs/>
          <w:sz w:val="20"/>
          <w:szCs w:val="21"/>
        </w:rPr>
        <w:t>四、不可抗力及其他免责条款</w:t>
      </w:r>
    </w:p>
    <w:p>
      <w:pPr>
        <w:pStyle w:val="61"/>
        <w:spacing w:line="360" w:lineRule="auto"/>
        <w:ind w:firstLine="402"/>
        <w:rPr>
          <w:rFonts w:ascii="宋体" w:hAnsi="宋体" w:cs="宋体"/>
          <w:b/>
          <w:sz w:val="20"/>
          <w:szCs w:val="21"/>
        </w:rPr>
      </w:pPr>
      <w:r>
        <w:rPr>
          <w:rFonts w:hint="eastAsia" w:ascii="宋体" w:hAnsi="宋体" w:cs="宋体"/>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pPr>
        <w:pStyle w:val="61"/>
        <w:spacing w:line="360" w:lineRule="auto"/>
        <w:ind w:firstLine="402"/>
        <w:rPr>
          <w:rFonts w:ascii="宋体" w:hAnsi="宋体" w:cs="宋体"/>
          <w:b/>
          <w:sz w:val="20"/>
          <w:szCs w:val="21"/>
        </w:rPr>
      </w:pPr>
      <w:r>
        <w:rPr>
          <w:rFonts w:ascii="宋体" w:hAnsi="宋体" w:cs="宋体"/>
          <w:b/>
          <w:sz w:val="20"/>
          <w:szCs w:val="21"/>
        </w:rPr>
        <w:t>非因</w:t>
      </w:r>
      <w:r>
        <w:rPr>
          <w:rFonts w:hint="eastAsia" w:ascii="宋体" w:hAnsi="宋体" w:cs="宋体"/>
          <w:b/>
          <w:sz w:val="20"/>
          <w:szCs w:val="21"/>
        </w:rPr>
        <w:t>甲方</w:t>
      </w:r>
      <w:r>
        <w:rPr>
          <w:rFonts w:ascii="宋体" w:hAnsi="宋体" w:cs="宋体"/>
          <w:b/>
          <w:sz w:val="20"/>
          <w:szCs w:val="21"/>
        </w:rPr>
        <w:t>原因（包括但不限于理财产品投资者遗失理财产品销售文件、理财产品销售文件被盗用等原因）造成的损失，</w:t>
      </w:r>
      <w:r>
        <w:rPr>
          <w:rFonts w:hint="eastAsia" w:ascii="宋体" w:hAnsi="宋体" w:cs="宋体"/>
          <w:b/>
          <w:sz w:val="20"/>
          <w:szCs w:val="21"/>
        </w:rPr>
        <w:t>甲方</w:t>
      </w:r>
      <w:r>
        <w:rPr>
          <w:rFonts w:ascii="宋体" w:hAnsi="宋体" w:cs="宋体"/>
          <w:b/>
          <w:sz w:val="20"/>
          <w:szCs w:val="21"/>
        </w:rPr>
        <w:t>不承担责任。</w:t>
      </w:r>
    </w:p>
    <w:p>
      <w:pPr>
        <w:pStyle w:val="61"/>
        <w:spacing w:line="360" w:lineRule="auto"/>
        <w:ind w:firstLine="402"/>
        <w:rPr>
          <w:rFonts w:ascii="宋体" w:hAnsi="宋体" w:cs="宋体"/>
          <w:b/>
          <w:bCs/>
          <w:sz w:val="20"/>
          <w:szCs w:val="21"/>
        </w:rPr>
      </w:pPr>
      <w:r>
        <w:rPr>
          <w:rFonts w:hint="eastAsia" w:ascii="宋体" w:hAnsi="宋体" w:cs="宋体"/>
          <w:b/>
          <w:bCs/>
          <w:sz w:val="20"/>
          <w:szCs w:val="21"/>
        </w:rPr>
        <w:t>五、争议解决</w:t>
      </w:r>
    </w:p>
    <w:p>
      <w:pPr>
        <w:pStyle w:val="61"/>
        <w:spacing w:line="360" w:lineRule="auto"/>
        <w:ind w:firstLine="402"/>
        <w:rPr>
          <w:rFonts w:ascii="宋体" w:hAnsi="宋体" w:cs="宋体"/>
          <w:b/>
          <w:sz w:val="20"/>
          <w:szCs w:val="21"/>
        </w:rPr>
      </w:pPr>
      <w:r>
        <w:rPr>
          <w:rFonts w:hint="eastAsia" w:ascii="宋体" w:hAnsi="宋体" w:cs="宋体"/>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pPr>
        <w:pStyle w:val="61"/>
        <w:spacing w:line="360" w:lineRule="auto"/>
        <w:ind w:firstLine="402"/>
        <w:rPr>
          <w:rFonts w:ascii="宋体" w:hAnsi="宋体" w:cs="宋体"/>
          <w:sz w:val="20"/>
          <w:szCs w:val="21"/>
        </w:rPr>
      </w:pPr>
      <w:r>
        <w:rPr>
          <w:rFonts w:hint="eastAsia" w:ascii="宋体" w:hAnsi="宋体" w:cs="宋体"/>
          <w:b/>
          <w:bCs/>
          <w:sz w:val="20"/>
          <w:szCs w:val="21"/>
        </w:rPr>
        <w:t>六、</w:t>
      </w:r>
      <w:r>
        <w:rPr>
          <w:rFonts w:hint="eastAsia" w:ascii="宋体" w:hAnsi="宋体" w:cs="宋体"/>
          <w:sz w:val="20"/>
          <w:szCs w:val="21"/>
        </w:rPr>
        <w:t>本协议未尽事宜，以《理财产品说明书》《理财产品风险揭示书》《理财产品销售协议书》及《投资者权益须知》等销售文件的内容为准。</w:t>
      </w:r>
    </w:p>
    <w:p>
      <w:pPr>
        <w:pStyle w:val="61"/>
        <w:spacing w:line="360" w:lineRule="auto"/>
        <w:ind w:firstLine="400"/>
        <w:rPr>
          <w:rFonts w:ascii="宋体" w:hAnsi="宋体" w:cs="宋体"/>
          <w:sz w:val="20"/>
          <w:szCs w:val="21"/>
        </w:rPr>
      </w:pPr>
    </w:p>
    <w:p>
      <w:pPr>
        <w:pStyle w:val="61"/>
        <w:spacing w:line="360" w:lineRule="auto"/>
        <w:ind w:firstLine="402"/>
        <w:rPr>
          <w:rFonts w:ascii="宋体" w:hAnsi="宋体" w:cs="宋体"/>
          <w:b/>
          <w:bCs/>
          <w:sz w:val="20"/>
          <w:szCs w:val="21"/>
        </w:rPr>
      </w:pPr>
      <w:r>
        <w:rPr>
          <w:rFonts w:hint="eastAsia" w:ascii="宋体" w:hAnsi="宋体" w:cs="宋体"/>
          <w:b/>
          <w:bCs/>
          <w:sz w:val="20"/>
          <w:szCs w:val="21"/>
        </w:rPr>
        <w:t>请投资者在购买本理财产品前认真阅读以上条款，尤其是加粗的条款。如果投资者不同意本协议的任何内容，或者无法准确理解相关条款的解释，请不要进行后续操作。</w:t>
      </w:r>
    </w:p>
    <w:p>
      <w:pPr>
        <w:pStyle w:val="61"/>
        <w:spacing w:line="360" w:lineRule="auto"/>
        <w:ind w:firstLine="400"/>
        <w:rPr>
          <w:rFonts w:ascii="宋体" w:hAnsi="宋体" w:cs="宋体"/>
          <w:sz w:val="20"/>
          <w:szCs w:val="21"/>
        </w:rPr>
      </w:pPr>
      <w:r>
        <w:rPr>
          <w:rFonts w:hint="eastAsia" w:ascii="宋体" w:hAnsi="宋体" w:cs="宋体"/>
          <w:sz w:val="20"/>
          <w:szCs w:val="21"/>
        </w:rPr>
        <w:t>（以下无正文）</w:t>
      </w:r>
    </w:p>
    <w:p>
      <w:pPr>
        <w:pStyle w:val="61"/>
        <w:spacing w:line="360" w:lineRule="auto"/>
        <w:ind w:firstLine="400"/>
        <w:rPr>
          <w:rFonts w:ascii="宋体" w:hAnsi="宋体" w:cs="宋体"/>
          <w:sz w:val="20"/>
          <w:szCs w:val="21"/>
        </w:rPr>
      </w:pPr>
    </w:p>
    <w:p>
      <w:pPr>
        <w:spacing w:line="360" w:lineRule="auto"/>
        <w:rPr>
          <w:rStyle w:val="62"/>
          <w:rFonts w:hint="default"/>
          <w:sz w:val="20"/>
        </w:rPr>
      </w:pPr>
      <w:r>
        <w:rPr>
          <w:rStyle w:val="62"/>
          <w:rFonts w:hint="default"/>
          <w:sz w:val="20"/>
        </w:rPr>
        <w:t>个人投资者（如适用）：                   机构投资者（如适用）：</w:t>
      </w:r>
    </w:p>
    <w:p>
      <w:pPr>
        <w:spacing w:line="360" w:lineRule="auto"/>
        <w:rPr>
          <w:rStyle w:val="62"/>
          <w:rFonts w:hint="default"/>
          <w:sz w:val="20"/>
        </w:rPr>
      </w:pPr>
      <w:r>
        <w:rPr>
          <w:rStyle w:val="62"/>
          <w:rFonts w:hint="default"/>
          <w:sz w:val="20"/>
        </w:rPr>
        <w:t>个人投资者： （签名或盖章）              机构投资者： （</w:t>
      </w:r>
      <w:r>
        <w:rPr>
          <w:rFonts w:hint="eastAsia" w:ascii="宋体" w:hAnsi="宋体" w:cs="宋体"/>
          <w:sz w:val="20"/>
        </w:rPr>
        <w:t>公章或合同专用章</w:t>
      </w:r>
      <w:r>
        <w:rPr>
          <w:rStyle w:val="62"/>
          <w:rFonts w:hint="default"/>
          <w:sz w:val="20"/>
        </w:rPr>
        <w:t>）</w:t>
      </w:r>
    </w:p>
    <w:p>
      <w:pPr>
        <w:spacing w:line="360" w:lineRule="auto"/>
        <w:rPr>
          <w:rStyle w:val="62"/>
          <w:rFonts w:hint="default"/>
          <w:sz w:val="20"/>
        </w:rPr>
      </w:pPr>
      <w:r>
        <w:rPr>
          <w:rStyle w:val="62"/>
          <w:rFonts w:hint="default"/>
          <w:sz w:val="20"/>
        </w:rPr>
        <w:t xml:space="preserve">   年  月  日                           法定代表人或授权代理人：（签名或盖章）</w:t>
      </w:r>
    </w:p>
    <w:p>
      <w:pPr>
        <w:widowControl/>
        <w:jc w:val="left"/>
      </w:pPr>
      <w:r>
        <w:rPr>
          <w:rStyle w:val="62"/>
          <w:rFonts w:hint="default"/>
          <w:sz w:val="20"/>
        </w:rPr>
        <w:t xml:space="preserve">                                            年    月   日</w:t>
      </w:r>
    </w:p>
    <w:p/>
    <w:p>
      <w:pPr>
        <w:rPr>
          <w:rFonts w:hint="eastAsia"/>
        </w:rPr>
      </w:pPr>
    </w:p>
    <w:p>
      <w:pPr>
        <w:rPr>
          <w:rFonts w:hint="eastAsia" w:ascii="方正黑体_GBK" w:hAnsi="方正黑体_GBK" w:eastAsia="方正黑体_GBK"/>
          <w:b/>
          <w:bCs/>
          <w:color w:val="3D3D3D"/>
          <w:kern w:val="0"/>
          <w:sz w:val="15"/>
          <w:szCs w:val="15"/>
          <w:lang w:val="en-US" w:eastAsia="zh-CN"/>
        </w:rPr>
      </w:pPr>
      <w:bookmarkStart w:id="0" w:name="_GoBack"/>
      <w:bookmarkEnd w:id="0"/>
    </w:p>
    <w:sectPr>
      <w:headerReference r:id="rId7" w:type="default"/>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黑体_GBK">
    <w:altName w:val="汉仪中黑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黑体_GBK">
    <w:altName w:val="汉仪中黑KW"/>
    <w:panose1 w:val="00000000000000000000"/>
    <w:charset w:val="86"/>
    <w:family w:val="auto"/>
    <w:pitch w:val="default"/>
    <w:sig w:usb0="00000000" w:usb1="00000000" w:usb2="00000000" w:usb3="00000000" w:csb0="00040000" w:csb1="00000000"/>
  </w:font>
  <w:font w:name="方正细黑一简体">
    <w:altName w:val="黑体-简"/>
    <w:panose1 w:val="00000000000000000000"/>
    <w:charset w:val="86"/>
    <w:family w:val="auto"/>
    <w:pitch w:val="default"/>
    <w:sig w:usb0="00000000" w:usb1="00000000" w:usb2="00000000" w:usb3="00000000" w:csb0="00040000" w:csb1="00000000"/>
  </w:font>
  <w:font w:name="黑体-简">
    <w:panose1 w:val="02000000000000000000"/>
    <w:charset w:val="86"/>
    <w:family w:val="auto"/>
    <w:pitch w:val="default"/>
    <w:sig w:usb0="8000002F" w:usb1="0800004A" w:usb2="00000000" w:usb3="00000000" w:csb0="2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000000" w:sz="4" w:space="2"/>
      </w:pBdr>
      <w:ind w:right="360"/>
      <w:jc w:val="right"/>
      <w:rPr>
        <w:sz w:val="32"/>
      </w:rPr>
    </w:pPr>
    <w:r>
      <w:rPr>
        <w:rFonts w:hint="eastAsia"/>
        <w:sz w:val="22"/>
        <w:szCs w:val="24"/>
      </w:rPr>
      <w:t>南银理财理财产品销售文件（2021第2版）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t>南银理财理财产品销售文件（2021第2版）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E065C"/>
    <w:multiLevelType w:val="multilevel"/>
    <w:tmpl w:val="BEFE065C"/>
    <w:lvl w:ilvl="0" w:tentative="0">
      <w:start w:val="1"/>
      <w:numFmt w:val="chineseCountingThousand"/>
      <w:lvlText w:val="（%1）"/>
      <w:legacy w:legacy="1" w:legacySpace="0" w:legacyIndent="420"/>
      <w:lvlJc w:val="left"/>
      <w:pPr>
        <w:ind w:left="704" w:hanging="420"/>
      </w:pPr>
      <w:rPr>
        <w:rFonts w:hint="eastAsia" w:ascii="方正黑体_GBK" w:hAnsi="方正黑体_GBK" w:eastAsia="方正黑体_GBK"/>
        <w:b w:val="0"/>
        <w:bCs w:val="0"/>
      </w:rPr>
    </w:lvl>
    <w:lvl w:ilvl="1" w:tentative="0">
      <w:start w:val="1"/>
      <w:numFmt w:val="lowerLetter"/>
      <w:lvlText w:val="%2)"/>
      <w:legacy w:legacy="1" w:legacySpace="0" w:legacyIndent="420"/>
      <w:lvlJc w:val="left"/>
      <w:pPr>
        <w:ind w:left="1124" w:hanging="420"/>
      </w:pPr>
      <w:rPr>
        <w:rFonts w:hint="default" w:ascii="方正黑体_GBK" w:hAnsi="方正黑体_GBK" w:eastAsia="方正黑体_GBK"/>
      </w:rPr>
    </w:lvl>
    <w:lvl w:ilvl="2" w:tentative="0">
      <w:start w:val="1"/>
      <w:numFmt w:val="decimal"/>
      <w:lvlText w:val="%3."/>
      <w:legacy w:legacy="1" w:legacySpace="0" w:legacyIndent="420"/>
      <w:lvlJc w:val="right"/>
      <w:pPr>
        <w:ind w:left="1544" w:hanging="420"/>
      </w:pPr>
      <w:rPr>
        <w:rFonts w:hint="default" w:ascii="方正黑体_GBK" w:hAnsi="方正黑体_GBK" w:eastAsia="方正黑体_GBK"/>
      </w:rPr>
    </w:lvl>
    <w:lvl w:ilvl="3" w:tentative="0">
      <w:start w:val="1"/>
      <w:numFmt w:val="decimal"/>
      <w:lvlText w:val="%4."/>
      <w:legacy w:legacy="1" w:legacySpace="0" w:legacyIndent="420"/>
      <w:lvlJc w:val="left"/>
      <w:pPr>
        <w:ind w:left="1964" w:hanging="420"/>
      </w:pPr>
      <w:rPr>
        <w:rFonts w:hint="default" w:ascii="方正黑体_GBK" w:hAnsi="方正黑体_GBK" w:eastAsia="方正黑体_GBK"/>
      </w:rPr>
    </w:lvl>
    <w:lvl w:ilvl="4" w:tentative="0">
      <w:start w:val="1"/>
      <w:numFmt w:val="lowerLetter"/>
      <w:lvlText w:val="%5)"/>
      <w:legacy w:legacy="1" w:legacySpace="0" w:legacyIndent="420"/>
      <w:lvlJc w:val="left"/>
      <w:pPr>
        <w:ind w:left="2384" w:hanging="420"/>
      </w:pPr>
      <w:rPr>
        <w:rFonts w:hint="default" w:ascii="方正黑体_GBK" w:hAnsi="方正黑体_GBK" w:eastAsia="方正黑体_GBK"/>
      </w:rPr>
    </w:lvl>
    <w:lvl w:ilvl="5" w:tentative="0">
      <w:start w:val="1"/>
      <w:numFmt w:val="decimal"/>
      <w:lvlText w:val="%6."/>
      <w:legacy w:legacy="1" w:legacySpace="0" w:legacyIndent="420"/>
      <w:lvlJc w:val="right"/>
      <w:pPr>
        <w:ind w:left="2804" w:hanging="420"/>
      </w:pPr>
      <w:rPr>
        <w:rFonts w:hint="default" w:ascii="方正黑体_GBK" w:hAnsi="方正黑体_GBK" w:eastAsia="方正黑体_GBK"/>
      </w:rPr>
    </w:lvl>
    <w:lvl w:ilvl="6" w:tentative="0">
      <w:start w:val="1"/>
      <w:numFmt w:val="decimal"/>
      <w:lvlText w:val="%7."/>
      <w:legacy w:legacy="1" w:legacySpace="0" w:legacyIndent="420"/>
      <w:lvlJc w:val="left"/>
      <w:pPr>
        <w:ind w:left="3224" w:hanging="420"/>
      </w:pPr>
      <w:rPr>
        <w:rFonts w:hint="default" w:ascii="方正黑体_GBK" w:hAnsi="方正黑体_GBK" w:eastAsia="方正黑体_GBK"/>
      </w:rPr>
    </w:lvl>
    <w:lvl w:ilvl="7" w:tentative="0">
      <w:start w:val="1"/>
      <w:numFmt w:val="lowerLetter"/>
      <w:lvlText w:val="%8)"/>
      <w:legacy w:legacy="1" w:legacySpace="0" w:legacyIndent="420"/>
      <w:lvlJc w:val="left"/>
      <w:pPr>
        <w:ind w:left="3644" w:hanging="420"/>
      </w:pPr>
      <w:rPr>
        <w:rFonts w:hint="default" w:ascii="方正黑体_GBK" w:hAnsi="方正黑体_GBK" w:eastAsia="方正黑体_GBK"/>
      </w:rPr>
    </w:lvl>
    <w:lvl w:ilvl="8" w:tentative="0">
      <w:start w:val="1"/>
      <w:numFmt w:val="decimal"/>
      <w:lvlText w:val="%9."/>
      <w:legacy w:legacy="1" w:legacySpace="0" w:legacyIndent="420"/>
      <w:lvlJc w:val="right"/>
      <w:pPr>
        <w:ind w:left="4064" w:hanging="420"/>
      </w:pPr>
      <w:rPr>
        <w:rFonts w:hint="default" w:ascii="方正黑体_GBK" w:hAnsi="方正黑体_GBK" w:eastAsia="方正黑体_GBK"/>
      </w:rPr>
    </w:lvl>
  </w:abstractNum>
  <w:abstractNum w:abstractNumId="1">
    <w:nsid w:val="BFEF971F"/>
    <w:multiLevelType w:val="multilevel"/>
    <w:tmpl w:val="BFEF971F"/>
    <w:lvl w:ilvl="0" w:tentative="0">
      <w:start w:val="1"/>
      <w:numFmt w:val="decimal"/>
      <w:lvlText w:val="%1."/>
      <w:lvlJc w:val="left"/>
      <w:pPr>
        <w:tabs>
          <w:tab w:val="left" w:pos="0"/>
        </w:tabs>
        <w:ind w:left="660" w:hanging="360"/>
      </w:pPr>
      <w:rPr>
        <w:rFonts w:hint="default" w:ascii="方正黑体_GBK" w:hAnsi="方正黑体_GBK" w:eastAsia="方正黑体_GBK"/>
      </w:rPr>
    </w:lvl>
    <w:lvl w:ilvl="1" w:tentative="0">
      <w:start w:val="1"/>
      <w:numFmt w:val="lowerLetter"/>
      <w:lvlText w:val="%2)"/>
      <w:lvlJc w:val="left"/>
      <w:pPr>
        <w:tabs>
          <w:tab w:val="left" w:pos="0"/>
        </w:tabs>
        <w:ind w:left="1140" w:hanging="420"/>
      </w:pPr>
      <w:rPr>
        <w:rFonts w:hint="default" w:ascii="方正黑体_GBK" w:hAnsi="方正黑体_GBK" w:eastAsia="方正黑体_GBK"/>
      </w:rPr>
    </w:lvl>
    <w:lvl w:ilvl="2" w:tentative="0">
      <w:start w:val="1"/>
      <w:numFmt w:val="decimal"/>
      <w:lvlText w:val="%3."/>
      <w:lvlJc w:val="right"/>
      <w:pPr>
        <w:tabs>
          <w:tab w:val="left" w:pos="0"/>
        </w:tabs>
        <w:ind w:left="1560" w:hanging="420"/>
      </w:pPr>
      <w:rPr>
        <w:rFonts w:hint="default" w:ascii="方正黑体_GBK" w:hAnsi="方正黑体_GBK" w:eastAsia="方正黑体_GBK"/>
      </w:rPr>
    </w:lvl>
    <w:lvl w:ilvl="3" w:tentative="0">
      <w:start w:val="1"/>
      <w:numFmt w:val="decimal"/>
      <w:lvlText w:val="%4."/>
      <w:lvlJc w:val="left"/>
      <w:pPr>
        <w:tabs>
          <w:tab w:val="left" w:pos="0"/>
        </w:tabs>
        <w:ind w:left="1980" w:hanging="420"/>
      </w:pPr>
      <w:rPr>
        <w:rFonts w:hint="default" w:ascii="方正黑体_GBK" w:hAnsi="方正黑体_GBK" w:eastAsia="方正黑体_GBK"/>
      </w:rPr>
    </w:lvl>
    <w:lvl w:ilvl="4" w:tentative="0">
      <w:start w:val="1"/>
      <w:numFmt w:val="lowerLetter"/>
      <w:lvlText w:val="%5)"/>
      <w:lvlJc w:val="left"/>
      <w:pPr>
        <w:tabs>
          <w:tab w:val="left" w:pos="0"/>
        </w:tabs>
        <w:ind w:left="2400" w:hanging="420"/>
      </w:pPr>
      <w:rPr>
        <w:rFonts w:hint="default" w:ascii="方正黑体_GBK" w:hAnsi="方正黑体_GBK" w:eastAsia="方正黑体_GBK"/>
      </w:rPr>
    </w:lvl>
    <w:lvl w:ilvl="5" w:tentative="0">
      <w:start w:val="1"/>
      <w:numFmt w:val="decimal"/>
      <w:lvlText w:val="%6."/>
      <w:lvlJc w:val="right"/>
      <w:pPr>
        <w:tabs>
          <w:tab w:val="left" w:pos="0"/>
        </w:tabs>
        <w:ind w:left="2820" w:hanging="420"/>
      </w:pPr>
      <w:rPr>
        <w:rFonts w:hint="default" w:ascii="方正黑体_GBK" w:hAnsi="方正黑体_GBK" w:eastAsia="方正黑体_GBK"/>
      </w:rPr>
    </w:lvl>
    <w:lvl w:ilvl="6" w:tentative="0">
      <w:start w:val="1"/>
      <w:numFmt w:val="decimal"/>
      <w:lvlText w:val="%7."/>
      <w:lvlJc w:val="left"/>
      <w:pPr>
        <w:tabs>
          <w:tab w:val="left" w:pos="0"/>
        </w:tabs>
        <w:ind w:left="3240" w:hanging="420"/>
      </w:pPr>
      <w:rPr>
        <w:rFonts w:hint="default" w:ascii="方正黑体_GBK" w:hAnsi="方正黑体_GBK" w:eastAsia="方正黑体_GBK"/>
      </w:rPr>
    </w:lvl>
    <w:lvl w:ilvl="7" w:tentative="0">
      <w:start w:val="1"/>
      <w:numFmt w:val="lowerLetter"/>
      <w:lvlText w:val="%8)"/>
      <w:lvlJc w:val="left"/>
      <w:pPr>
        <w:tabs>
          <w:tab w:val="left" w:pos="0"/>
        </w:tabs>
        <w:ind w:left="3660" w:hanging="420"/>
      </w:pPr>
      <w:rPr>
        <w:rFonts w:hint="default" w:ascii="方正黑体_GBK" w:hAnsi="方正黑体_GBK" w:eastAsia="方正黑体_GBK"/>
      </w:rPr>
    </w:lvl>
    <w:lvl w:ilvl="8" w:tentative="0">
      <w:start w:val="1"/>
      <w:numFmt w:val="decimal"/>
      <w:lvlText w:val="%9."/>
      <w:lvlJc w:val="right"/>
      <w:pPr>
        <w:tabs>
          <w:tab w:val="left" w:pos="0"/>
        </w:tabs>
        <w:ind w:left="4080" w:hanging="420"/>
      </w:pPr>
      <w:rPr>
        <w:rFonts w:hint="default" w:ascii="方正黑体_GBK" w:hAnsi="方正黑体_GBK" w:eastAsia="方正黑体_GBK"/>
      </w:rPr>
    </w:lvl>
  </w:abstractNum>
  <w:abstractNum w:abstractNumId="2">
    <w:nsid w:val="F3FD956D"/>
    <w:multiLevelType w:val="multilevel"/>
    <w:tmpl w:val="F3FD956D"/>
    <w:lvl w:ilvl="0" w:tentative="0">
      <w:start w:val="1"/>
      <w:numFmt w:val="japaneseCounting"/>
      <w:lvlText w:val="（%1）"/>
      <w:lvlJc w:val="left"/>
      <w:pPr>
        <w:tabs>
          <w:tab w:val="left" w:pos="0"/>
        </w:tabs>
        <w:ind w:left="1021" w:hanging="720"/>
      </w:pPr>
      <w:rPr>
        <w:rFonts w:hint="default" w:ascii="方正黑体_GBK" w:hAnsi="方正黑体_GBK" w:eastAsia="方正黑体_GBK"/>
      </w:rPr>
    </w:lvl>
    <w:lvl w:ilvl="1" w:tentative="0">
      <w:start w:val="1"/>
      <w:numFmt w:val="lowerLetter"/>
      <w:lvlText w:val="%2)"/>
      <w:lvlJc w:val="left"/>
      <w:pPr>
        <w:tabs>
          <w:tab w:val="left" w:pos="0"/>
        </w:tabs>
        <w:ind w:left="1141" w:hanging="420"/>
      </w:pPr>
      <w:rPr>
        <w:rFonts w:hint="default" w:ascii="方正黑体_GBK" w:hAnsi="方正黑体_GBK" w:eastAsia="方正黑体_GBK"/>
      </w:rPr>
    </w:lvl>
    <w:lvl w:ilvl="2" w:tentative="0">
      <w:start w:val="1"/>
      <w:numFmt w:val="decimal"/>
      <w:lvlText w:val="%3."/>
      <w:lvlJc w:val="right"/>
      <w:pPr>
        <w:tabs>
          <w:tab w:val="left" w:pos="0"/>
        </w:tabs>
        <w:ind w:left="1561" w:hanging="420"/>
      </w:pPr>
      <w:rPr>
        <w:rFonts w:hint="default" w:ascii="方正黑体_GBK" w:hAnsi="方正黑体_GBK" w:eastAsia="方正黑体_GBK"/>
      </w:rPr>
    </w:lvl>
    <w:lvl w:ilvl="3" w:tentative="0">
      <w:start w:val="1"/>
      <w:numFmt w:val="decimal"/>
      <w:lvlText w:val="%4."/>
      <w:lvlJc w:val="left"/>
      <w:pPr>
        <w:tabs>
          <w:tab w:val="left" w:pos="0"/>
        </w:tabs>
        <w:ind w:left="1981" w:hanging="420"/>
      </w:pPr>
      <w:rPr>
        <w:rFonts w:hint="default" w:ascii="方正黑体_GBK" w:hAnsi="方正黑体_GBK" w:eastAsia="方正黑体_GBK"/>
      </w:rPr>
    </w:lvl>
    <w:lvl w:ilvl="4" w:tentative="0">
      <w:start w:val="1"/>
      <w:numFmt w:val="lowerLetter"/>
      <w:lvlText w:val="%5)"/>
      <w:lvlJc w:val="left"/>
      <w:pPr>
        <w:tabs>
          <w:tab w:val="left" w:pos="0"/>
        </w:tabs>
        <w:ind w:left="2401" w:hanging="420"/>
      </w:pPr>
      <w:rPr>
        <w:rFonts w:hint="default" w:ascii="方正黑体_GBK" w:hAnsi="方正黑体_GBK" w:eastAsia="方正黑体_GBK"/>
      </w:rPr>
    </w:lvl>
    <w:lvl w:ilvl="5" w:tentative="0">
      <w:start w:val="1"/>
      <w:numFmt w:val="decimal"/>
      <w:lvlText w:val="%6."/>
      <w:lvlJc w:val="right"/>
      <w:pPr>
        <w:tabs>
          <w:tab w:val="left" w:pos="0"/>
        </w:tabs>
        <w:ind w:left="2821" w:hanging="420"/>
      </w:pPr>
      <w:rPr>
        <w:rFonts w:hint="default" w:ascii="方正黑体_GBK" w:hAnsi="方正黑体_GBK" w:eastAsia="方正黑体_GBK"/>
      </w:rPr>
    </w:lvl>
    <w:lvl w:ilvl="6" w:tentative="0">
      <w:start w:val="1"/>
      <w:numFmt w:val="decimal"/>
      <w:lvlText w:val="%7."/>
      <w:lvlJc w:val="left"/>
      <w:pPr>
        <w:tabs>
          <w:tab w:val="left" w:pos="0"/>
        </w:tabs>
        <w:ind w:left="3241" w:hanging="420"/>
      </w:pPr>
      <w:rPr>
        <w:rFonts w:hint="default" w:ascii="方正黑体_GBK" w:hAnsi="方正黑体_GBK" w:eastAsia="方正黑体_GBK"/>
      </w:rPr>
    </w:lvl>
    <w:lvl w:ilvl="7" w:tentative="0">
      <w:start w:val="1"/>
      <w:numFmt w:val="lowerLetter"/>
      <w:lvlText w:val="%8)"/>
      <w:lvlJc w:val="left"/>
      <w:pPr>
        <w:tabs>
          <w:tab w:val="left" w:pos="0"/>
        </w:tabs>
        <w:ind w:left="3661" w:hanging="420"/>
      </w:pPr>
      <w:rPr>
        <w:rFonts w:hint="default" w:ascii="方正黑体_GBK" w:hAnsi="方正黑体_GBK" w:eastAsia="方正黑体_GBK"/>
      </w:rPr>
    </w:lvl>
    <w:lvl w:ilvl="8" w:tentative="0">
      <w:start w:val="1"/>
      <w:numFmt w:val="decimal"/>
      <w:lvlText w:val="%9."/>
      <w:lvlJc w:val="right"/>
      <w:pPr>
        <w:tabs>
          <w:tab w:val="left" w:pos="0"/>
        </w:tabs>
        <w:ind w:left="4081" w:hanging="420"/>
      </w:pPr>
      <w:rPr>
        <w:rFonts w:hint="default" w:ascii="方正黑体_GBK" w:hAnsi="方正黑体_GBK" w:eastAsia="方正黑体_GBK"/>
      </w:rPr>
    </w:lvl>
  </w:abstractNum>
  <w:abstractNum w:abstractNumId="3">
    <w:nsid w:val="2EA814D3"/>
    <w:multiLevelType w:val="multilevel"/>
    <w:tmpl w:val="2EA814D3"/>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4">
    <w:nsid w:val="38167239"/>
    <w:multiLevelType w:val="multilevel"/>
    <w:tmpl w:val="38167239"/>
    <w:lvl w:ilvl="0" w:tentative="0">
      <w:start w:val="1"/>
      <w:numFmt w:val="lowerRoman"/>
      <w:lvlText w:val="%1."/>
      <w:lvlJc w:val="left"/>
      <w:pPr>
        <w:ind w:left="760" w:hanging="420"/>
      </w:pPr>
      <w:rPr>
        <w:rFonts w:hint="default" w:ascii="Times New Roman" w:hAnsi="Times New Roman" w:cs="Times New Roman"/>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5">
    <w:nsid w:val="3CFA0BAF"/>
    <w:multiLevelType w:val="multilevel"/>
    <w:tmpl w:val="3CFA0BAF"/>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6">
    <w:nsid w:val="3F15C910"/>
    <w:multiLevelType w:val="multilevel"/>
    <w:tmpl w:val="3F15C910"/>
    <w:lvl w:ilvl="0" w:tentative="0">
      <w:start w:val="4"/>
      <w:numFmt w:val="chineseCounting"/>
      <w:suff w:val="space"/>
      <w:lvlText w:val="第%1条"/>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510A3506"/>
    <w:multiLevelType w:val="singleLevel"/>
    <w:tmpl w:val="510A3506"/>
    <w:lvl w:ilvl="0" w:tentative="0">
      <w:start w:val="1"/>
      <w:numFmt w:val="decimal"/>
      <w:suff w:val="nothing"/>
      <w:lvlText w:val="（%1）"/>
      <w:lvlJc w:val="left"/>
    </w:lvl>
  </w:abstractNum>
  <w:abstractNum w:abstractNumId="8">
    <w:nsid w:val="54B02AA4"/>
    <w:multiLevelType w:val="multilevel"/>
    <w:tmpl w:val="54B02AA4"/>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9">
    <w:nsid w:val="5DF84C9C"/>
    <w:multiLevelType w:val="singleLevel"/>
    <w:tmpl w:val="5DF84C9C"/>
    <w:lvl w:ilvl="0" w:tentative="0">
      <w:start w:val="1"/>
      <w:numFmt w:val="decimal"/>
      <w:suff w:val="nothing"/>
      <w:lvlText w:val="%1."/>
      <w:lvlJc w:val="left"/>
    </w:lvl>
  </w:abstractNum>
  <w:abstractNum w:abstractNumId="10">
    <w:nsid w:val="5DF84CBD"/>
    <w:multiLevelType w:val="singleLevel"/>
    <w:tmpl w:val="5DF84CBD"/>
    <w:lvl w:ilvl="0" w:tentative="0">
      <w:start w:val="1"/>
      <w:numFmt w:val="decimal"/>
      <w:suff w:val="nothing"/>
      <w:lvlText w:val="（%1）"/>
      <w:lvlJc w:val="left"/>
    </w:lvl>
  </w:abstractNum>
  <w:abstractNum w:abstractNumId="11">
    <w:nsid w:val="5DF84D07"/>
    <w:multiLevelType w:val="singleLevel"/>
    <w:tmpl w:val="5DF84D07"/>
    <w:lvl w:ilvl="0" w:tentative="0">
      <w:start w:val="1"/>
      <w:numFmt w:val="decimal"/>
      <w:suff w:val="nothing"/>
      <w:lvlText w:val="（%1）"/>
      <w:lvlJc w:val="left"/>
    </w:lvl>
  </w:abstractNum>
  <w:abstractNum w:abstractNumId="12">
    <w:nsid w:val="6D2A3EBA"/>
    <w:multiLevelType w:val="singleLevel"/>
    <w:tmpl w:val="6D2A3EBA"/>
    <w:lvl w:ilvl="0" w:tentative="0">
      <w:start w:val="1"/>
      <w:numFmt w:val="decimal"/>
      <w:suff w:val="nothing"/>
      <w:lvlText w:val="（%1）"/>
      <w:lvlJc w:val="left"/>
    </w:lvl>
  </w:abstractNum>
  <w:abstractNum w:abstractNumId="13">
    <w:nsid w:val="7A29506B"/>
    <w:multiLevelType w:val="singleLevel"/>
    <w:tmpl w:val="7A29506B"/>
    <w:lvl w:ilvl="0" w:tentative="0">
      <w:start w:val="1"/>
      <w:numFmt w:val="decimal"/>
      <w:suff w:val="nothing"/>
      <w:lvlText w:val="（%1）"/>
      <w:lvlJc w:val="left"/>
    </w:lvl>
  </w:abstractNum>
  <w:abstractNum w:abstractNumId="14">
    <w:nsid w:val="7EFA5755"/>
    <w:multiLevelType w:val="multilevel"/>
    <w:tmpl w:val="7EFA5755"/>
    <w:lvl w:ilvl="0" w:tentative="0">
      <w:start w:val="1"/>
      <w:numFmt w:val="decimal"/>
      <w:lvlText w:val="（%1）"/>
      <w:legacy w:legacy="1" w:legacySpace="0" w:legacyIndent="420"/>
      <w:lvlJc w:val="left"/>
      <w:pPr>
        <w:ind w:left="709" w:hanging="420"/>
      </w:pPr>
      <w:rPr>
        <w:rFonts w:hint="default" w:ascii="方正黑体_GBK" w:hAnsi="方正黑体_GBK" w:eastAsia="方正黑体_GBK" w:cs="Times New Roman"/>
      </w:rPr>
    </w:lvl>
    <w:lvl w:ilvl="1" w:tentative="0">
      <w:start w:val="1"/>
      <w:numFmt w:val="lowerLetter"/>
      <w:lvlText w:val="%2)"/>
      <w:legacy w:legacy="1" w:legacySpace="0" w:legacyIndent="420"/>
      <w:lvlJc w:val="left"/>
      <w:pPr>
        <w:ind w:left="1129" w:hanging="420"/>
      </w:pPr>
    </w:lvl>
    <w:lvl w:ilvl="2" w:tentative="0">
      <w:start w:val="1"/>
      <w:numFmt w:val="lowerRoman"/>
      <w:lvlText w:val="%3."/>
      <w:legacy w:legacy="1" w:legacySpace="0" w:legacyIndent="420"/>
      <w:lvlJc w:val="right"/>
      <w:pPr>
        <w:ind w:left="1549" w:hanging="420"/>
      </w:pPr>
    </w:lvl>
    <w:lvl w:ilvl="3" w:tentative="0">
      <w:start w:val="1"/>
      <w:numFmt w:val="decimal"/>
      <w:lvlText w:val="%4."/>
      <w:legacy w:legacy="1" w:legacySpace="0" w:legacyIndent="420"/>
      <w:lvlJc w:val="left"/>
      <w:pPr>
        <w:ind w:left="1969" w:hanging="420"/>
      </w:pPr>
    </w:lvl>
    <w:lvl w:ilvl="4" w:tentative="0">
      <w:start w:val="1"/>
      <w:numFmt w:val="lowerLetter"/>
      <w:lvlText w:val="%5)"/>
      <w:legacy w:legacy="1" w:legacySpace="0" w:legacyIndent="420"/>
      <w:lvlJc w:val="left"/>
      <w:pPr>
        <w:ind w:left="2389" w:hanging="420"/>
      </w:pPr>
    </w:lvl>
    <w:lvl w:ilvl="5" w:tentative="0">
      <w:start w:val="1"/>
      <w:numFmt w:val="lowerRoman"/>
      <w:lvlText w:val="%6."/>
      <w:legacy w:legacy="1" w:legacySpace="0" w:legacyIndent="420"/>
      <w:lvlJc w:val="right"/>
      <w:pPr>
        <w:ind w:left="2809" w:hanging="420"/>
      </w:pPr>
    </w:lvl>
    <w:lvl w:ilvl="6" w:tentative="0">
      <w:start w:val="1"/>
      <w:numFmt w:val="decimal"/>
      <w:lvlText w:val="%7."/>
      <w:legacy w:legacy="1" w:legacySpace="0" w:legacyIndent="420"/>
      <w:lvlJc w:val="left"/>
      <w:pPr>
        <w:ind w:left="3229" w:hanging="420"/>
      </w:pPr>
    </w:lvl>
    <w:lvl w:ilvl="7" w:tentative="0">
      <w:start w:val="1"/>
      <w:numFmt w:val="lowerLetter"/>
      <w:lvlText w:val="%8)"/>
      <w:legacy w:legacy="1" w:legacySpace="0" w:legacyIndent="420"/>
      <w:lvlJc w:val="left"/>
      <w:pPr>
        <w:ind w:left="3649" w:hanging="420"/>
      </w:pPr>
    </w:lvl>
    <w:lvl w:ilvl="8" w:tentative="0">
      <w:start w:val="1"/>
      <w:numFmt w:val="lowerRoman"/>
      <w:lvlText w:val="%9."/>
      <w:legacy w:legacy="1" w:legacySpace="0" w:legacyIndent="420"/>
      <w:lvlJc w:val="right"/>
      <w:pPr>
        <w:ind w:left="4069" w:hanging="420"/>
      </w:pPr>
    </w:lvl>
  </w:abstractNum>
  <w:num w:numId="1">
    <w:abstractNumId w:val="0"/>
  </w:num>
  <w:num w:numId="2">
    <w:abstractNumId w:val="14"/>
  </w:num>
  <w:num w:numId="3">
    <w:abstractNumId w:val="2"/>
  </w:num>
  <w:num w:numId="4">
    <w:abstractNumId w:val="1"/>
  </w:num>
  <w:num w:numId="5">
    <w:abstractNumId w:val="6"/>
  </w:num>
  <w:num w:numId="6">
    <w:abstractNumId w:val="9"/>
  </w:num>
  <w:num w:numId="7">
    <w:abstractNumId w:val="10"/>
  </w:num>
  <w:num w:numId="8">
    <w:abstractNumId w:val="11"/>
  </w:num>
  <w:num w:numId="9">
    <w:abstractNumId w:val="7"/>
  </w:num>
  <w:num w:numId="10">
    <w:abstractNumId w:val="8"/>
  </w:num>
  <w:num w:numId="11">
    <w:abstractNumId w:val="5"/>
  </w:num>
  <w:num w:numId="12">
    <w:abstractNumId w:val="13"/>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dit="readOnly" w:enforcement="0"/>
  <w:defaultTabStop w:val="420"/>
  <w:drawingGridHorizontalSpacing w:val="1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
  <w:rsids>
    <w:rsidRoot w:val="00000000"/>
    <w:rsid w:val="A7FE53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2">
    <w:name w:val="heading 1"/>
    <w:basedOn w:val="1"/>
    <w:next w:val="1"/>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styleId="3">
    <w:name w:val="heading 2"/>
    <w:basedOn w:val="1"/>
    <w:next w:val="1"/>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styleId="4">
    <w:name w:val="heading 3"/>
    <w:basedOn w:val="1"/>
    <w:next w:val="1"/>
    <w:uiPriority w:val="0"/>
    <w:pPr>
      <w:keepNext/>
      <w:keepLines/>
      <w:pageBreakBefore w:val="0"/>
      <w:widowControl w:val="0"/>
      <w:suppressLineNumbers w:val="0"/>
      <w:suppressAutoHyphens w:val="0"/>
      <w:spacing w:before="260" w:after="260" w:line="415" w:lineRule="auto"/>
      <w:outlineLvl w:val="2"/>
    </w:pPr>
    <w:rPr>
      <w:b/>
      <w:sz w:val="32"/>
    </w:rPr>
  </w:style>
  <w:style w:type="character" w:default="1" w:styleId="15">
    <w:name w:val="Default Paragraph Font"/>
    <w:uiPriority w:val="0"/>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annotation text"/>
    <w:basedOn w:val="1"/>
    <w:uiPriority w:val="0"/>
    <w:pPr>
      <w:jc w:val="left"/>
    </w:pPr>
    <w:rPr>
      <w:rFonts w:ascii="Times New Roman" w:hAnsi="Times New Roman" w:eastAsia="宋体"/>
      <w:sz w:val="18"/>
      <w:szCs w:val="18"/>
    </w:rPr>
  </w:style>
  <w:style w:type="paragraph" w:styleId="6">
    <w:name w:val="toc 5"/>
    <w:basedOn w:val="1"/>
    <w:next w:val="1"/>
    <w:autoRedefine/>
    <w:uiPriority w:val="0"/>
    <w:pPr>
      <w:ind w:left="1680"/>
    </w:pPr>
  </w:style>
  <w:style w:type="paragraph" w:styleId="7">
    <w:name w:val="toc 3"/>
    <w:basedOn w:val="1"/>
    <w:next w:val="1"/>
    <w:autoRedefine/>
    <w:uiPriority w:val="0"/>
    <w:pPr>
      <w:ind w:left="840"/>
    </w:pPr>
  </w:style>
  <w:style w:type="paragraph" w:styleId="8">
    <w:name w:val="footer"/>
    <w:basedOn w:val="1"/>
    <w:uiPriority w:val="0"/>
    <w:pPr>
      <w:tabs>
        <w:tab w:val="center" w:pos="4153"/>
        <w:tab w:val="right" w:pos="8307"/>
      </w:tabs>
      <w:adjustRightInd/>
      <w:snapToGrid w:val="0"/>
      <w:contextualSpacing w:val="0"/>
      <w:jc w:val="left"/>
    </w:pPr>
    <w:rPr>
      <w:sz w:val="18"/>
    </w:rPr>
  </w:style>
  <w:style w:type="paragraph" w:styleId="9">
    <w:name w:val="header"/>
    <w:basedOn w:val="1"/>
    <w:uiPriority w:val="0"/>
    <w:pPr>
      <w:pBdr>
        <w:bottom w:val="single" w:color="auto" w:sz="6" w:space="1"/>
      </w:pBdr>
      <w:tabs>
        <w:tab w:val="center" w:pos="4153"/>
        <w:tab w:val="right" w:pos="8307"/>
      </w:tabs>
      <w:adjustRightInd/>
      <w:snapToGrid w:val="0"/>
      <w:contextualSpacing w:val="0"/>
      <w:jc w:val="center"/>
    </w:pPr>
    <w:rPr>
      <w:sz w:val="18"/>
    </w:rPr>
  </w:style>
  <w:style w:type="paragraph" w:styleId="10">
    <w:name w:val="toc 1"/>
    <w:basedOn w:val="1"/>
    <w:next w:val="1"/>
    <w:autoRedefine/>
    <w:uiPriority w:val="0"/>
  </w:style>
  <w:style w:type="paragraph" w:styleId="11">
    <w:name w:val="toc 4"/>
    <w:basedOn w:val="1"/>
    <w:next w:val="1"/>
    <w:autoRedefine/>
    <w:uiPriority w:val="0"/>
    <w:pPr>
      <w:ind w:left="1260"/>
    </w:pPr>
  </w:style>
  <w:style w:type="paragraph" w:styleId="12">
    <w:name w:val="toc 2"/>
    <w:basedOn w:val="1"/>
    <w:next w:val="1"/>
    <w:autoRedefine/>
    <w:uiPriority w:val="0"/>
    <w:pPr>
      <w:ind w:left="420"/>
    </w:pPr>
  </w:style>
  <w:style w:type="paragraph" w:styleId="13">
    <w:name w:val="Normal (Web)"/>
    <w:next w:val="10"/>
    <w:qFormat/>
    <w:uiPriority w:val="0"/>
    <w:pPr>
      <w:spacing w:before="102" w:after="102" w:line="1099" w:lineRule="atLeast"/>
      <w:ind w:firstLine="419"/>
      <w:textAlignment w:val="baseline"/>
    </w:pPr>
    <w:rPr>
      <w:rFonts w:ascii="Times New Roman" w:hAnsi="Times New Roman" w:eastAsia="宋体" w:cs="Times New Roman"/>
      <w:sz w:val="24"/>
      <w:szCs w:val="24"/>
      <w:lang w:val="en-US" w:eastAsia="zh-CN" w:bidi="ar-SA"/>
    </w:rPr>
  </w:style>
  <w:style w:type="character" w:styleId="16">
    <w:name w:val="Strong"/>
    <w:uiPriority w:val="0"/>
    <w:rPr>
      <w:b/>
    </w:rPr>
  </w:style>
  <w:style w:type="paragraph" w:customStyle="1" w:styleId="17">
    <w:name w:val="Normalc5c0a38e"/>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18">
    <w:name w:val="heading 1e7b06903"/>
    <w:basedOn w:val="17"/>
    <w:next w:val="1"/>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19">
    <w:name w:val="heading 29590a866"/>
    <w:basedOn w:val="17"/>
    <w:next w:val="1"/>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20">
    <w:name w:val="heading 372761b5e"/>
    <w:basedOn w:val="17"/>
    <w:next w:val="1"/>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21">
    <w:name w:val="Default Paragraph Font402a8a23"/>
    <w:uiPriority w:val="0"/>
  </w:style>
  <w:style w:type="paragraph" w:customStyle="1" w:styleId="22">
    <w:name w:val="toc 151c2f89d"/>
    <w:basedOn w:val="17"/>
    <w:next w:val="1"/>
    <w:autoRedefine/>
    <w:uiPriority w:val="0"/>
  </w:style>
  <w:style w:type="paragraph" w:customStyle="1" w:styleId="23">
    <w:name w:val="toc 235b61ec5"/>
    <w:basedOn w:val="17"/>
    <w:next w:val="1"/>
    <w:autoRedefine/>
    <w:uiPriority w:val="0"/>
    <w:pPr>
      <w:ind w:left="420"/>
    </w:pPr>
  </w:style>
  <w:style w:type="paragraph" w:customStyle="1" w:styleId="24">
    <w:name w:val="toc 3bccb6667"/>
    <w:basedOn w:val="17"/>
    <w:next w:val="1"/>
    <w:autoRedefine/>
    <w:uiPriority w:val="0"/>
    <w:pPr>
      <w:ind w:left="840"/>
    </w:pPr>
  </w:style>
  <w:style w:type="paragraph" w:customStyle="1" w:styleId="25">
    <w:name w:val="toc 4b526095d"/>
    <w:basedOn w:val="17"/>
    <w:next w:val="1"/>
    <w:autoRedefine/>
    <w:uiPriority w:val="0"/>
    <w:pPr>
      <w:ind w:left="1260"/>
    </w:pPr>
  </w:style>
  <w:style w:type="paragraph" w:customStyle="1" w:styleId="26">
    <w:name w:val="toc 518f29c86"/>
    <w:basedOn w:val="17"/>
    <w:next w:val="1"/>
    <w:autoRedefine/>
    <w:uiPriority w:val="0"/>
    <w:pPr>
      <w:ind w:left="1680"/>
    </w:pPr>
  </w:style>
  <w:style w:type="paragraph" w:customStyle="1" w:styleId="27">
    <w:name w:val="headere5be4c06"/>
    <w:basedOn w:val="17"/>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28">
    <w:name w:val="footer21903a83"/>
    <w:basedOn w:val="17"/>
    <w:uiPriority w:val="0"/>
    <w:pPr>
      <w:tabs>
        <w:tab w:val="center" w:pos="4153"/>
        <w:tab w:val="right" w:pos="8307"/>
      </w:tabs>
      <w:adjustRightInd/>
      <w:snapToGrid w:val="0"/>
      <w:contextualSpacing w:val="0"/>
      <w:jc w:val="left"/>
    </w:pPr>
    <w:rPr>
      <w:sz w:val="18"/>
    </w:rPr>
  </w:style>
  <w:style w:type="character" w:customStyle="1" w:styleId="29">
    <w:name w:val="Strong7a9e7cd1"/>
    <w:uiPriority w:val="0"/>
    <w:rPr>
      <w:b/>
    </w:rPr>
  </w:style>
  <w:style w:type="paragraph" w:customStyle="1" w:styleId="30">
    <w:name w:val="annotation text23"/>
    <w:next w:val="10"/>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31">
    <w:name w:val="Normal902aff51"/>
    <w:next w:val="10"/>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18"/>
      <w:szCs w:val="18"/>
      <w:u w:val="none" w:color="auto"/>
      <w:shd w:val="clear" w:color="auto" w:fill="auto"/>
      <w:vertAlign w:val="baseline"/>
      <w:lang w:val="en-US" w:eastAsia="zh-CN" w:bidi="ar-SA"/>
    </w:rPr>
  </w:style>
  <w:style w:type="paragraph" w:customStyle="1" w:styleId="32">
    <w:name w:val="heading 131bb0b02"/>
    <w:basedOn w:val="31"/>
    <w:next w:val="1"/>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33">
    <w:name w:val="heading 243dc1e13"/>
    <w:basedOn w:val="31"/>
    <w:next w:val="1"/>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34">
    <w:name w:val="heading 38243e966"/>
    <w:basedOn w:val="31"/>
    <w:next w:val="1"/>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35">
    <w:name w:val="Default Paragraph Font655da443"/>
    <w:uiPriority w:val="0"/>
  </w:style>
  <w:style w:type="paragraph" w:customStyle="1" w:styleId="36">
    <w:name w:val="Normal Indent879e1890"/>
    <w:basedOn w:val="31"/>
    <w:uiPriority w:val="0"/>
    <w:pPr>
      <w:ind w:firstLine="200" w:firstLineChars="200"/>
    </w:pPr>
  </w:style>
  <w:style w:type="paragraph" w:customStyle="1" w:styleId="37">
    <w:name w:val="toc 583b8494e"/>
    <w:basedOn w:val="31"/>
    <w:next w:val="1"/>
    <w:uiPriority w:val="0"/>
    <w:pPr>
      <w:ind w:left="1680"/>
    </w:pPr>
  </w:style>
  <w:style w:type="paragraph" w:customStyle="1" w:styleId="38">
    <w:name w:val="toc 306fa9262"/>
    <w:basedOn w:val="31"/>
    <w:next w:val="1"/>
    <w:uiPriority w:val="0"/>
    <w:pPr>
      <w:ind w:left="840"/>
    </w:pPr>
  </w:style>
  <w:style w:type="paragraph" w:customStyle="1" w:styleId="39">
    <w:name w:val="footer501bee62"/>
    <w:basedOn w:val="31"/>
    <w:uiPriority w:val="0"/>
    <w:pPr>
      <w:tabs>
        <w:tab w:val="center" w:pos="4153"/>
        <w:tab w:val="right" w:pos="8307"/>
      </w:tabs>
      <w:adjustRightInd/>
      <w:snapToGrid w:val="0"/>
      <w:contextualSpacing w:val="0"/>
      <w:jc w:val="left"/>
    </w:pPr>
    <w:rPr>
      <w:sz w:val="18"/>
    </w:rPr>
  </w:style>
  <w:style w:type="paragraph" w:customStyle="1" w:styleId="40">
    <w:name w:val="headerf66b8f06"/>
    <w:basedOn w:val="31"/>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41">
    <w:name w:val="toc 18af7be05"/>
    <w:basedOn w:val="31"/>
    <w:next w:val="1"/>
    <w:uiPriority w:val="0"/>
  </w:style>
  <w:style w:type="paragraph" w:customStyle="1" w:styleId="42">
    <w:name w:val="toc 424a91484"/>
    <w:basedOn w:val="31"/>
    <w:next w:val="1"/>
    <w:uiPriority w:val="0"/>
    <w:pPr>
      <w:ind w:left="1260"/>
    </w:pPr>
  </w:style>
  <w:style w:type="paragraph" w:customStyle="1" w:styleId="43">
    <w:name w:val="toc 28f74743d"/>
    <w:basedOn w:val="31"/>
    <w:next w:val="1"/>
    <w:uiPriority w:val="0"/>
    <w:pPr>
      <w:ind w:left="420"/>
    </w:pPr>
  </w:style>
  <w:style w:type="paragraph" w:customStyle="1" w:styleId="44">
    <w:name w:val="Normal (Web)9ff26109"/>
    <w:next w:val="9"/>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2" w:beforeAutospacing="0" w:after="102" w:afterAutospacing="0" w:line="1099" w:lineRule="atLeast"/>
      <w:ind w:left="0" w:right="0" w:firstLine="419"/>
      <w:contextualSpacing w:val="0"/>
      <w:jc w:val="left"/>
      <w:textAlignment w:val="baseline"/>
      <w:outlineLvl w:val="9"/>
    </w:pPr>
    <w:rPr>
      <w:rFonts w:ascii="方正黑体_GBK" w:hAnsi="方正黑体_GBK" w:eastAsia="方正黑体_GBK" w:cs="Times New Roman"/>
      <w:snapToGrid/>
      <w:color w:val="auto"/>
      <w:spacing w:val="0"/>
      <w:w w:val="100"/>
      <w:kern w:val="0"/>
      <w:position w:val="0"/>
      <w:sz w:val="24"/>
      <w:szCs w:val="24"/>
      <w:u w:val="none" w:color="auto"/>
      <w:shd w:val="clear" w:color="auto" w:fill="auto"/>
      <w:vertAlign w:val="baseline"/>
      <w:lang w:val="en-US" w:eastAsia="zh-CN" w:bidi="ar-SA"/>
    </w:rPr>
  </w:style>
  <w:style w:type="paragraph" w:customStyle="1" w:styleId="45">
    <w:name w:val="引文目录124"/>
    <w:next w:val="1"/>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200" w:leftChars="200" w:right="0" w:firstLine="0"/>
      <w:contextualSpacing w:val="0"/>
      <w:jc w:val="both"/>
      <w:textAlignment w:val="baseline"/>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6">
    <w:name w:val="Normald0806b4dd0806b4d"/>
    <w:next w:val="10"/>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7">
    <w:name w:val="heading 17e4410bb7e4410bb"/>
    <w:basedOn w:val="46"/>
    <w:next w:val="1"/>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48">
    <w:name w:val="heading 296510bb396510bb3"/>
    <w:basedOn w:val="46"/>
    <w:next w:val="1"/>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49">
    <w:name w:val="heading 36f8423e66f8423e6"/>
    <w:basedOn w:val="46"/>
    <w:next w:val="1"/>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50">
    <w:name w:val="Default Paragraph Font8aedc6578aedc657"/>
    <w:uiPriority w:val="0"/>
  </w:style>
  <w:style w:type="paragraph" w:customStyle="1" w:styleId="51">
    <w:name w:val="引文目录1414b5d16414b5d16"/>
    <w:basedOn w:val="46"/>
    <w:next w:val="1"/>
    <w:uiPriority w:val="0"/>
    <w:pPr>
      <w:ind w:left="200" w:leftChars="200"/>
    </w:pPr>
  </w:style>
  <w:style w:type="paragraph" w:customStyle="1" w:styleId="52">
    <w:name w:val="toc 5a43ee0b6a43ee0b6"/>
    <w:basedOn w:val="46"/>
    <w:next w:val="1"/>
    <w:uiPriority w:val="0"/>
    <w:pPr>
      <w:ind w:left="1680"/>
    </w:pPr>
  </w:style>
  <w:style w:type="paragraph" w:customStyle="1" w:styleId="53">
    <w:name w:val="toc 36b984c906b984c90"/>
    <w:basedOn w:val="46"/>
    <w:next w:val="1"/>
    <w:uiPriority w:val="0"/>
    <w:pPr>
      <w:ind w:left="840"/>
    </w:pPr>
  </w:style>
  <w:style w:type="paragraph" w:customStyle="1" w:styleId="54">
    <w:name w:val="footer9f15e2989f15e298"/>
    <w:basedOn w:val="46"/>
    <w:uiPriority w:val="0"/>
    <w:pPr>
      <w:tabs>
        <w:tab w:val="center" w:pos="4153"/>
        <w:tab w:val="right" w:pos="8307"/>
      </w:tabs>
      <w:adjustRightInd/>
      <w:snapToGrid w:val="0"/>
      <w:contextualSpacing w:val="0"/>
      <w:jc w:val="left"/>
    </w:pPr>
    <w:rPr>
      <w:sz w:val="18"/>
    </w:rPr>
  </w:style>
  <w:style w:type="paragraph" w:customStyle="1" w:styleId="55">
    <w:name w:val="header937a633b937a633b"/>
    <w:basedOn w:val="46"/>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56">
    <w:name w:val="toc 19752bd7b9752bd7b"/>
    <w:basedOn w:val="46"/>
    <w:next w:val="1"/>
    <w:uiPriority w:val="0"/>
  </w:style>
  <w:style w:type="paragraph" w:customStyle="1" w:styleId="57">
    <w:name w:val="toc 4f2e1626cf2e1626c"/>
    <w:basedOn w:val="46"/>
    <w:next w:val="1"/>
    <w:uiPriority w:val="0"/>
    <w:pPr>
      <w:ind w:left="1260"/>
    </w:pPr>
  </w:style>
  <w:style w:type="paragraph" w:customStyle="1" w:styleId="58">
    <w:name w:val="toc 2af9935d7af9935d7"/>
    <w:basedOn w:val="46"/>
    <w:next w:val="1"/>
    <w:uiPriority w:val="0"/>
    <w:pPr>
      <w:ind w:left="420"/>
    </w:pPr>
  </w:style>
  <w:style w:type="paragraph" w:customStyle="1" w:styleId="59">
    <w:name w:val="列出段落11da595de1da595de"/>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60">
    <w:name w:val="列出段落1"/>
    <w:basedOn w:val="1"/>
    <w:qFormat/>
    <w:uiPriority w:val="99"/>
    <w:pPr>
      <w:ind w:firstLine="420" w:firstLineChars="200"/>
    </w:pPr>
    <w:rPr>
      <w:rFonts w:ascii="Times New Roman" w:hAnsi="Times New Roman" w:eastAsia="宋体"/>
      <w:sz w:val="18"/>
      <w:szCs w:val="18"/>
    </w:rPr>
  </w:style>
  <w:style w:type="paragraph" w:customStyle="1" w:styleId="61">
    <w:name w:val="列表段落1"/>
    <w:basedOn w:val="1"/>
    <w:qFormat/>
    <w:uiPriority w:val="34"/>
    <w:pPr>
      <w:ind w:firstLine="420" w:firstLineChars="200"/>
    </w:pPr>
    <w:rPr>
      <w:rFonts w:ascii="Times New Roman" w:hAnsi="Times New Roman" w:eastAsia="宋体"/>
      <w:sz w:val="18"/>
      <w:szCs w:val="18"/>
    </w:rPr>
  </w:style>
  <w:style w:type="character" w:customStyle="1" w:styleId="62">
    <w:name w:val="fontstyle01"/>
    <w:qFormat/>
    <w:uiPriority w:val="0"/>
    <w:rPr>
      <w:rFonts w:hint="eastAsia" w:ascii="宋体" w:hAnsi="宋体" w:eastAsia="宋体"/>
      <w:color w:val="000000"/>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22</Pages>
  <Words>4074</Words>
  <Characters>4086</Characters>
  <Lines>81</Lines>
  <Paragraphs>27</Paragraphs>
  <TotalTime>0</TotalTime>
  <ScaleCrop>false</ScaleCrop>
  <LinksUpToDate>false</LinksUpToDate>
  <CharactersWithSpaces>4087</CharactersWithSpaces>
  <Application>WPS Office_6.7.1.8828_F1E327BC-269C-435d-A152-05C5408002CA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2022-08-09T15:38:00Z</dcterms:created>
  <dc:creator>HP</dc:creator>
  <cp:lastModifiedBy>洋洋</cp:lastModifiedBy>
  <dcterms:modified xsi:type="dcterms:W3CDTF">2024-11-08T11:33:26Z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011AE81BD4DDAAED86862D674598655F_43</vt:lpwstr>
  </property>
  <property fmtid="{D5CDD505-2E9C-101B-9397-08002B2CF9AE}" pid="4" name="_KSOProductBuildMID">
    <vt:lpwstr>CYWMY6BW7R9Q00HGRQRNKL007NL0OSGR9E0XOJDWXF8RTELTZ8BJICJGFS6HPB8RXFMXLOL5ZH578INJRUFAQFFV8RMMWMLBANODQHB30080AEEADADA84970F5B0ECADF360D08</vt:lpwstr>
  </property>
  <property fmtid="{D5CDD505-2E9C-101B-9397-08002B2CF9AE}" pid="5" name="_KSOProductBuildSID">
    <vt:lpwstr>0FD2E4170A3A4BFE95415E7C2F2BA8F8</vt:lpwstr>
  </property>
</Properties>
</file>