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06GI79VQ0TTGRKR8ZL0K7NM0O7GRES0XTJDWXGH8TGLTZRBRVCJTFYRHPCRRXEMXOOL5ZI778HXJRSFT0F8D89D0WOLB8OOD0HB39832B3353AD33541D02A6A3D83A5939F" Type="http://schemas.microsoft.com/office/2006/relationships/officeDocumentMain" Target="docProps/core.xml"/><Relationship Id="SYWM06GD7RYA0V9GRKR80L0K7ZCMOYVREU06NJDWXFGRTQCTZ6BRVCJUFY5TP86RBEMXNOZMZHJD8IXJRSFARF8O8RZMWMLB8SOOZHB3C41B90539766E147DE6C15EE85EB19B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南银理财珠联璧合鑫逸稳一年176期封闭式公募人民币理财产品（产品登记编码：Z7003224000127）已于2024年07月23日结束募集，符合产品成立条件，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于2024年07月24日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成立。该产品募集金额436,071,826.00元，理财资金将按产品说明书约定进行投资。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2024年07月25日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DQWF06GI79VQ0TTGRKR8ZL0K7NM0O7GRES0XTJDWXGH8TGLTZRBRVCJTFYRHPCRRXEMXOOL5ZI778HXJRSFT0F8D89D0WOLB8OOD0HB39832B3353AD33541D02A6A3D83A5939F</vt:lpwstr>
  </property>
  <property fmtid="{D5CDD505-2E9C-101B-9397-08002B2CF9AE}" pid="5" name="_KSOProductBuildSID">
    <vt:lpwstr>SYWM06GD7RYA0V9GRKR80L0K7ZCMOYVREU06NJDWXFGRTQCTZ6BRVCJUFY5TP86RBEMXNOZMZHJD8IXJRSFARF8O8RZMWMLB8SOOZHB3C41B90539766E147DE6C15EE85EB19B9</vt:lpwstr>
  </property>
</Properties>
</file>