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G6BA7RSA0T9GQKR8ZL007NZ0OYVREU0XNJDWXFF8TFCTZ8BRVC0PFY5TP86RAUMXHOLSZHJD8MXJQSFAYFFX89EMWMWB8XODDHB3F2D9FEA555A048FDE7EF8A3A52D48E0C" Type="http://schemas.microsoft.com/office/2006/relationships/officeDocumentMain" Target="docProps/core.xml"/><Relationship Id="CPWMD6GK796Q059GQYR8QLJZ7NM0O7VR9F06FJDWXGH8TECTZ7BJICJUFYYHPDIRXJMXCOZLZH5D8LXJQNFTIFFX89Q0WLCBAEOO0HB3F1A5ED3141C6C7EC62C9B82BE538335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南银理财珠联璧合鑫逸稳半年84期封闭式公募人民币理财产品（产品登记编码：Z7003224000131）已于2024年07月23日结束募集，符合产品成立条件，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于2024年07月24日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成立。该产品募集金额154,527,775.00元，理财资金将按产品说明书约定进行投资。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2024年07月25日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CZWMG6BA7RSA0T9GQKR8ZL007NZ0OYVREU0XNJDWXFF8TFCTZ8BRVC0PFY5TP86RAUMXHOLSZHJD8MXJQSFAYFFX89EMWMWB8XODDHB3F2D9FEA555A048FDE7EF8A3A52D48E0C</vt:lpwstr>
  </property>
  <property fmtid="{D5CDD505-2E9C-101B-9397-08002B2CF9AE}" pid="5" name="_KSOProductBuildSID">
    <vt:lpwstr>CPWMD6GK796Q059GQYR8QLJZ7NM0O7VR9F06FJDWXGH8TECTZ7BJICJUFYYHPDIRXJMXCOZLZH5D8LXJQNFTIFFX89Q0WLCBAEOO0HB3F1A5ED3141C6C7EC62C9B82BE5383358</vt:lpwstr>
  </property>
</Properties>
</file>