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06GJ79UQ00BGRKRNDLJ87NZMOSYR9E0XFJDWXFM8TQLTZRBRVCJFFS6TP8RRBXMXHOLYZHK78INJQNFT0FFA89CMWHCB8NOOZHB30686B2831807E31EE2A4C63EA9F3943C" Type="http://schemas.microsoft.com/office/2006/relationships/officeDocumentMain" Target="docProps/core.xml"/><Relationship Id="CZWMK6GC79UQ00HGRVR8PL007NLMOSVREF0XXJDWXFB8TG5TZRBJICJGFYYTPDIRXEM6OOLJZIW78MEJQNFT0F8H8RL0WMLB8OOOYHB358AEE2877A578B595B1CA56BA313839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2024年07月24日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2024年07月24日开放申购/赎回。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2024-07-25至2024-07-31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2024-08-01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1.3515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2024-07-18至2024-07-24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1.3510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2024-07-11至2024-07-17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1.3505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2024-07-04至2024-07-10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2024年07月25日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SAWM06GJ79UQ00BGRKRNDLJ87NZMOSYR9E0XFJDWXFM8TQLTZRBRVCJFFS6TP8RRBXMXHOLYZHK78INJQNFT0FFA89CMWHCB8NOOZHB30686B2831807E31EE2A4C63EA9F3943C</vt:lpwstr>
  </property>
  <property fmtid="{D5CDD505-2E9C-101B-9397-08002B2CF9AE}" pid="5" name="_KSOProductBuildSID">
    <vt:lpwstr>6327A2712E6243C0A97D5F63C16F4E32</vt:lpwstr>
  </property>
</Properties>
</file>