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MQ6BV7R9Q06HGRGR8IL0J7ZC0OSVRQO0XNJDWXFMRTFLTZ7BRVCJVFYSTPFRRXUMXEOL9ZIXD8IJJQUFTPFFU89C0WIWB8EOOKHB3C4A9655768724F0D1CC1E060BA2B45CB" Type="http://schemas.microsoft.com/office/2006/relationships/officeDocumentMain" Target="docProps/core.xml"/><Relationship Id="SKWMI6B77R9Q0VHGQZR8YLJB7N80OXYREF06TJDWXF88TQCTZRBR6C0IFY5TPB6RXFMXSOZGZH578IJJRNFTIFFN8RFMWHCB8SOD0HB3CC8788634B1BC60AB93B7953DE56068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8" w:rsidRDefault="00333746">
      <w:pPr>
        <w:jc w:val="center"/>
        <w:rPr>
          <w:rFonts w:ascii="方正黑体简体" w:eastAsia="方正黑体简体" w:hAnsi="黑体" w:cs="黑体"/>
          <w:b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/>
          <w:bCs/>
          <w:sz w:val="32"/>
          <w:szCs w:val="32"/>
        </w:rPr>
        <w:t>南银理财珠联璧合理财管理计划3号开放式公募人民币理财产品（Z11002）2024年07月24日开放公告</w:t>
      </w:r>
    </w:p>
    <w:p w:rsidR="00E766A8" w:rsidRDefault="00333746">
      <w:pPr>
        <w:widowControl w:val="0"/>
        <w:spacing w:line="360" w:lineRule="auto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尊敬的投资者：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南银理财理财管理计划3号-私钻（产品登记编码Z7003220000015，内部销售代码Z11002）成立于2020年10月21日。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后续申购赎回安排：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104"/>
        <w:gridCol w:w="1958"/>
        <w:gridCol w:w="1793"/>
        <w:gridCol w:w="2047"/>
      </w:tblGrid>
      <w:tr w:rsidR="00E766A8">
        <w:trPr>
          <w:jc w:val="center"/>
        </w:trPr>
        <w:tc>
          <w:tcPr>
            <w:tcW w:w="3104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申购起止日</w:t>
            </w:r>
          </w:p>
        </w:tc>
        <w:tc>
          <w:tcPr>
            <w:tcW w:w="195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93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2047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2024/07/24-2024/07/30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2024/07/31-2024/08/06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2024/08/07-2024/08/13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2024/08/14-2024/08/20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2024/08/21-2024/08/27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2024-11-27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2024/08/28-2024/09/03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E766A8">
      <w:pPr>
        <w:widowControl w:val="0"/>
        <w:rPr>
          <w:rFonts w:ascii="方正仿宋简体" w:eastAsia="方正仿宋简体" w:hAnsi="仿宋" w:cs="仿宋"/>
          <w:szCs w:val="21"/>
        </w:rPr>
      </w:pP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历史开放信息：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32"/>
        <w:gridCol w:w="1701"/>
        <w:gridCol w:w="1701"/>
        <w:gridCol w:w="1418"/>
        <w:gridCol w:w="1701"/>
        <w:gridCol w:w="949"/>
      </w:tblGrid>
      <w:tr w:rsidR="00E766A8" w:rsidTr="007E3550">
        <w:trPr>
          <w:trHeight w:val="2981"/>
          <w:jc w:val="center"/>
        </w:trPr>
        <w:tc>
          <w:tcPr>
            <w:tcW w:w="1432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申购确认单位净值（元）/申购价格（元/份）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每份额累计净值（元）</w:t>
            </w:r>
          </w:p>
        </w:tc>
        <w:tc>
          <w:tcPr>
            <w:tcW w:w="141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赎回确认单位净值（元）/赎回价格（元/份）</w:t>
            </w:r>
          </w:p>
        </w:tc>
        <w:tc>
          <w:tcPr>
            <w:tcW w:w="949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1.1411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1.1404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1.1392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98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92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1.1336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1.1411</w:t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333746">
      <w:pPr>
        <w:widowControl w:val="0"/>
        <w:spacing w:line="360" w:lineRule="auto"/>
        <w:ind w:firstLineChars="50" w:firstLine="105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注：1.申购确认单位净值指运作起始日前一工作日的产品单位净值。累计每份额净值指从</w:t>
      </w:r>
      <w:r>
        <w:rPr>
          <w:rFonts w:ascii="方正仿宋简体" w:eastAsia="方正仿宋简体" w:hAnsi="仿宋" w:cs="仿宋" w:hint="eastAsia"/>
          <w:szCs w:val="21"/>
        </w:rPr>
        <w:lastRenderedPageBreak/>
        <w:t>产品成立至运作起始日前一工作日的产品累计净值。实际收益以客户收到金额为准。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2.客户份额实际持有天数为该份额运作起始日（含）至自动</w:t>
      </w:r>
      <w:bookmarkStart w:id="0" w:name="_GoBack"/>
      <w:bookmarkEnd w:id="0"/>
      <w:r>
        <w:rPr>
          <w:rFonts w:ascii="方正仿宋简体" w:eastAsia="方正仿宋简体" w:hAnsi="仿宋" w:cs="仿宋" w:hint="eastAsia"/>
          <w:szCs w:val="21"/>
        </w:rPr>
        <w:t>赎回日（不含）之间的天数。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3.赎回金额将于自动赎回日后5个工作日内到账，自动赎回日至资金到账日之间不计息。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4.运作起始日如遇节假日将重新调整并公告；自动赎回日如遇节假日将顺延至下一工作日，客户份额实际持有天数将延长，具体以公告为准。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5.业绩报酬（如有）按产品说明书约定收取，赎回确认单位净值/赎回价格已扣除业绩报酬。</w:t>
      </w:r>
    </w:p>
    <w:p w:rsidR="00E766A8" w:rsidRDefault="00333746">
      <w:pPr>
        <w:widowControl w:val="0"/>
        <w:spacing w:line="360" w:lineRule="auto"/>
        <w:ind w:firstLineChars="200" w:firstLine="420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特此公告。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南银理财有限责任公司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          2024年07月24日</w:t>
      </w:r>
    </w:p>
    <w:sectPr w:rsidR="00E766A8" w:rsidSect="00E766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9" w:rsidRDefault="008F56C9" w:rsidP="00194FB8">
      <w:r>
        <w:separator/>
      </w:r>
    </w:p>
  </w:endnote>
  <w:endnote w:type="continuationSeparator" w:id="1">
    <w:p w:rsidR="008F56C9" w:rsidRDefault="008F56C9" w:rsidP="0019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9" w:rsidRDefault="008F56C9" w:rsidP="00194FB8">
      <w:r>
        <w:separator/>
      </w:r>
    </w:p>
  </w:footnote>
  <w:footnote w:type="continuationSeparator" w:id="1">
    <w:p w:rsidR="008F56C9" w:rsidRDefault="008F56C9" w:rsidP="0019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Y2RlNzU3MDRjYmMwNjllZTFlNzU3ODhjOWI2NjUifQ=="/>
  </w:docVars>
  <w:rsids>
    <w:rsidRoot w:val="00C87E3A"/>
    <w:rsid w:val="00194FB8"/>
    <w:rsid w:val="001C3F30"/>
    <w:rsid w:val="003330B1"/>
    <w:rsid w:val="00333746"/>
    <w:rsid w:val="003544E3"/>
    <w:rsid w:val="00380A38"/>
    <w:rsid w:val="003B389A"/>
    <w:rsid w:val="00413305"/>
    <w:rsid w:val="00723B6B"/>
    <w:rsid w:val="007E268B"/>
    <w:rsid w:val="007E3550"/>
    <w:rsid w:val="008F56C9"/>
    <w:rsid w:val="00964F35"/>
    <w:rsid w:val="0097263D"/>
    <w:rsid w:val="00BD3811"/>
    <w:rsid w:val="00C87E3A"/>
    <w:rsid w:val="00CD2ED5"/>
    <w:rsid w:val="00CE7DDE"/>
    <w:rsid w:val="00D37F92"/>
    <w:rsid w:val="00D82DA2"/>
    <w:rsid w:val="00E766A8"/>
    <w:rsid w:val="00F93476"/>
    <w:rsid w:val="0C54178D"/>
    <w:rsid w:val="18D93306"/>
    <w:rsid w:val="1E3B30FD"/>
    <w:rsid w:val="1F4E2A98"/>
    <w:rsid w:val="334F6696"/>
    <w:rsid w:val="40E94765"/>
    <w:rsid w:val="4B0B609E"/>
    <w:rsid w:val="50867528"/>
    <w:rsid w:val="54897862"/>
    <w:rsid w:val="5D6023BC"/>
    <w:rsid w:val="64EC143C"/>
    <w:rsid w:val="73FD5349"/>
    <w:rsid w:val="74A5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6A8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6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bonj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2024-05-10T02:14:00Z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4F594D92E53B4DE2AB03E80230764CBF</vt:lpwstr>
  </property>
  <property fmtid="{D5CDD505-2E9C-101B-9397-08002B2CF9AE}" pid="4" name="_KSOProductBuildMID">
    <vt:lpwstr>CZWMQ6BV7R9Q06HGRGR8IL0J7ZC0OSVRQO0XNJDWXFMRTFLTZ7BRVCJVFYSTPFRRXUMXEOL9ZIXD8IJJQUFTPFFU89C0WIWB8EOOKHB3C4A9655768724F0D1CC1E060BA2B45CB</vt:lpwstr>
  </property>
  <property fmtid="{D5CDD505-2E9C-101B-9397-08002B2CF9AE}" pid="5" name="_KSOProductBuildSID">
    <vt:lpwstr>B4CC9A3D966A41209C9222CC2A08921A</vt:lpwstr>
  </property>
</Properties>
</file>