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YWMG6GP79UQ05HGRGR8DL007NL0OAYREX06TJDWXGORTELTZ6BJIC0PFSVHPFIRXXMXHOZ8ZH5D8HJJQJFTKFFX8RF0WH5B8SOOYHB358CD0B2E12BC8718B122435E27C1295B" Type="http://schemas.microsoft.com/office/2006/relationships/officeDocumentMain" Target="docProps/core.xml"/><Relationship Id="SYWMI6B77R9A06HGQYR8QL0J7ZQ0OAYREX0XWJDWXFGRTDWTZ7BR6C0IFSVHPBIRXFMX5OZFZI678INJRSFTQF8D89D0WOWB8NODQHB3ED48A89EBA6F79121FFA5F42D2531D6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南银理财珠联璧合增瑞明远两年定开2022第1期公募人民币理财产品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南银理财珠联璧合增瑞明远两年定开2022第1期公募人民币理财产品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ZZ700322201224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Z20012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2022年07月06日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2024年07月22日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2024年07月22日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阜宁县城市发展投资集团有限公司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22阜宁城发02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2024年07月23日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