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86BV79UQ05BGQPR8QLJ87NM0OSYREN0XBJDWXGHRTQ5TZIBJICJXFYRTP88RBOMXOOL9ZIXD8LNJRSFTVFFA8RF0WICBAFOO0HB3458E184EC1237DB20F62FEDD1949F0F0" Type="http://schemas.microsoft.com/office/2006/relationships/officeDocumentMain" Target="docProps/core.xml"/><Relationship Id="CGWFI6GH796A0TTG9GRNQL057NZMO7VREU0XLJDWXGORTDLTZRBRVCJGFYRHPDRRBOMX9OLSZHK78LJJQFFTRFFX8RNMWOWBAEODQHB346907D8A8C8CEF503B29F635A560756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南银理财珠联璧合鑫逸稳半年83期封闭式公募人民币理财产品（产品登记编码：Z7003224000136）已于2024年07月16日结束募集，符合产品成立条件，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成立。该产品募集金额196,325,317.00元，理财资金将按产品说明书约定进行投资。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SPWM86BV79UQ05BGQPR8QLJ87NM0OSYREN0XBJDWXGHRTQ5TZIBJICJXFYRTP88RBOMXOOL9ZIXD8LNJRSFTVFFA8RF0WICBAFOO0HB3458E184EC1237DB20F62FEDD1949F0F0</vt:lpwstr>
  </property>
  <property fmtid="{D5CDD505-2E9C-101B-9397-08002B2CF9AE}" pid="5" name="_KSOProductBuildSID">
    <vt:lpwstr>7D6078E049474F90892ED32EF04018BD</vt:lpwstr>
  </property>
</Properties>
</file>