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关于调整南银理财珠联璧合行稳1906一年定开公募人民币理财产品</w:t>
      </w:r>
      <w:r>
        <w:rPr>
          <w:rFonts w:hint="eastAsia" w:ascii="方正黑体_GBK" w:hAnsi="方正黑体_GBK" w:eastAsia="方正黑体_GBK" w:cs="方正黑体_GBK"/>
          <w:b/>
          <w:bCs/>
          <w:sz w:val="32"/>
          <w:szCs w:val="32"/>
          <w:lang w:eastAsia="zh-CN"/>
        </w:rPr>
        <w:t>相关要素</w:t>
      </w:r>
      <w:r>
        <w:rPr>
          <w:rFonts w:hint="eastAsia" w:ascii="方正黑体_GBK" w:hAnsi="方正黑体_GBK" w:eastAsia="方正黑体_GBK" w:cs="方正黑体_GBK"/>
          <w:b/>
          <w:bCs/>
          <w:sz w:val="32"/>
          <w:szCs w:val="32"/>
        </w:rPr>
        <w:t>的公告</w:t>
      </w:r>
      <w:bookmarkStart w:id="0" w:name="_GoBack"/>
      <w:bookmarkEnd w:id="0"/>
    </w:p>
    <w:p>
      <w:pP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尊敬的投资者：</w:t>
      </w:r>
    </w:p>
    <w:p>
      <w:pPr>
        <w:spacing w:after="240"/>
        <w:ind w:firstLine="420"/>
        <w:rPr>
          <w:rFonts w:hint="eastAsia" w:ascii="方正黑体_GBK" w:hAnsi="方正黑体_GBK" w:eastAsia="方正黑体_GBK" w:cs="方正黑体_GBK"/>
          <w:sz w:val="24"/>
        </w:rPr>
      </w:pPr>
      <w:r>
        <w:rPr>
          <w:rFonts w:hint="eastAsia" w:ascii="方正黑体_GBK" w:hAnsi="方正黑体_GBK" w:eastAsia="方正黑体_GBK" w:cs="方正黑体_GBK"/>
          <w:color w:val="auto"/>
          <w:sz w:val="24"/>
          <w:szCs w:val="32"/>
          <w:lang w:eastAsia="zh-CN"/>
        </w:rPr>
        <w:t>根据</w:t>
      </w:r>
      <w:r>
        <w:rPr>
          <w:rFonts w:hint="eastAsia" w:ascii="方正黑体_GBK" w:hAnsi="方正黑体_GBK" w:eastAsia="方正黑体_GBK" w:cs="方正黑体_GBK"/>
          <w:color w:val="auto"/>
          <w:sz w:val="24"/>
          <w:szCs w:val="24"/>
          <w:lang w:eastAsia="zh-CN"/>
        </w:rPr>
        <w:t>理财产品说明书的相关约定，</w:t>
      </w:r>
      <w:r>
        <w:rPr>
          <w:rFonts w:hint="eastAsia" w:ascii="方正黑体_GBK" w:hAnsi="方正黑体_GBK" w:eastAsia="方正黑体_GBK" w:cs="方正黑体_GBK"/>
          <w:sz w:val="24"/>
        </w:rPr>
        <w:t>本公司将于202</w:t>
      </w:r>
      <w:r>
        <w:rPr>
          <w:rFonts w:hint="eastAsia" w:ascii="方正黑体_GBK" w:hAnsi="方正黑体_GBK" w:eastAsia="方正黑体_GBK" w:cs="方正黑体_GBK"/>
          <w:sz w:val="24"/>
          <w:lang w:val="en-US" w:eastAsia="zh-CN"/>
        </w:rPr>
        <w:t>4</w:t>
      </w:r>
      <w:r>
        <w:rPr>
          <w:rFonts w:hint="eastAsia" w:ascii="方正黑体_GBK" w:hAnsi="方正黑体_GBK" w:eastAsia="方正黑体_GBK" w:cs="方正黑体_GBK"/>
          <w:sz w:val="24"/>
        </w:rPr>
        <w:t>年</w:t>
      </w:r>
      <w:r>
        <w:rPr>
          <w:rFonts w:hint="eastAsia" w:ascii="方正黑体_GBK" w:hAnsi="方正黑体_GBK" w:eastAsia="方正黑体_GBK" w:cs="方正黑体_GBK"/>
          <w:sz w:val="24"/>
          <w:lang w:val="en-US" w:eastAsia="zh-CN"/>
        </w:rPr>
        <w:t>8</w:t>
      </w:r>
      <w:r>
        <w:rPr>
          <w:rFonts w:hint="eastAsia" w:ascii="方正黑体_GBK" w:hAnsi="方正黑体_GBK" w:eastAsia="方正黑体_GBK" w:cs="方正黑体_GBK"/>
          <w:sz w:val="24"/>
        </w:rPr>
        <w:t>月</w:t>
      </w:r>
      <w:r>
        <w:rPr>
          <w:rFonts w:hint="eastAsia" w:ascii="方正黑体_GBK" w:hAnsi="方正黑体_GBK" w:eastAsia="方正黑体_GBK" w:cs="方正黑体_GBK"/>
          <w:sz w:val="24"/>
          <w:lang w:val="en-US" w:eastAsia="zh-CN"/>
        </w:rPr>
        <w:t>1</w:t>
      </w:r>
      <w:r>
        <w:rPr>
          <w:rFonts w:hint="eastAsia" w:ascii="方正黑体_GBK" w:hAnsi="方正黑体_GBK" w:eastAsia="方正黑体_GBK" w:cs="方正黑体_GBK"/>
          <w:sz w:val="24"/>
        </w:rPr>
        <w:t>日起对南银理财珠联璧合行稳1906一年定开公募人民币理财产品（产品登记编码：Z7003221000031）的</w:t>
      </w:r>
      <w:r>
        <w:rPr>
          <w:rFonts w:hint="eastAsia" w:ascii="方正黑体_GBK" w:hAnsi="方正黑体_GBK" w:eastAsia="方正黑体_GBK" w:cs="方正黑体_GBK"/>
          <w:sz w:val="24"/>
          <w:lang w:eastAsia="zh-CN"/>
        </w:rPr>
        <w:t>相关要素</w:t>
      </w:r>
      <w:r>
        <w:rPr>
          <w:rFonts w:hint="eastAsia" w:ascii="方正黑体_GBK" w:hAnsi="方正黑体_GBK" w:eastAsia="方正黑体_GBK" w:cs="方正黑体_GBK"/>
          <w:sz w:val="24"/>
        </w:rPr>
        <w:t>进行调整，具体如下：</w:t>
      </w:r>
    </w:p>
    <w:tbl>
      <w:tblPr>
        <w:tblStyle w:val="8"/>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549"/>
        <w:gridCol w:w="4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36" w:type="dxa"/>
            <w:vAlign w:val="center"/>
          </w:tcPr>
          <w:p>
            <w:pPr>
              <w:jc w:val="center"/>
              <w:rPr>
                <w:rFonts w:hint="eastAsia" w:ascii="方正黑体_GBK" w:hAnsi="方正黑体_GBK" w:eastAsia="方正黑体_GBK" w:cs="方正黑体_GBK"/>
                <w:b/>
                <w:bCs/>
                <w:sz w:val="20"/>
                <w:szCs w:val="20"/>
              </w:rPr>
            </w:pPr>
            <w:r>
              <w:rPr>
                <w:rFonts w:hint="eastAsia" w:ascii="方正黑体_GBK" w:hAnsi="方正黑体_GBK" w:eastAsia="方正黑体_GBK" w:cs="方正黑体_GBK"/>
                <w:b/>
                <w:bCs/>
                <w:sz w:val="20"/>
                <w:szCs w:val="20"/>
              </w:rPr>
              <w:t>调整要素</w:t>
            </w:r>
          </w:p>
        </w:tc>
        <w:tc>
          <w:tcPr>
            <w:tcW w:w="4549" w:type="dxa"/>
            <w:vAlign w:val="center"/>
          </w:tcPr>
          <w:p>
            <w:pPr>
              <w:jc w:val="center"/>
              <w:rPr>
                <w:rFonts w:hint="eastAsia" w:ascii="方正黑体_GBK" w:hAnsi="方正黑体_GBK" w:eastAsia="方正黑体_GBK" w:cs="方正黑体_GBK"/>
                <w:b/>
                <w:bCs/>
                <w:sz w:val="20"/>
                <w:szCs w:val="20"/>
              </w:rPr>
            </w:pPr>
            <w:r>
              <w:rPr>
                <w:rFonts w:hint="eastAsia" w:ascii="方正黑体_GBK" w:hAnsi="方正黑体_GBK" w:eastAsia="方正黑体_GBK" w:cs="方正黑体_GBK"/>
                <w:b/>
                <w:bCs/>
                <w:sz w:val="20"/>
                <w:szCs w:val="20"/>
              </w:rPr>
              <w:t>调整前</w:t>
            </w:r>
          </w:p>
        </w:tc>
        <w:tc>
          <w:tcPr>
            <w:tcW w:w="4673" w:type="dxa"/>
            <w:vAlign w:val="center"/>
          </w:tcPr>
          <w:p>
            <w:pPr>
              <w:jc w:val="center"/>
              <w:rPr>
                <w:rFonts w:hint="eastAsia" w:ascii="方正黑体_GBK" w:hAnsi="方正黑体_GBK" w:eastAsia="方正黑体_GBK" w:cs="方正黑体_GBK"/>
                <w:b/>
                <w:bCs/>
                <w:sz w:val="20"/>
                <w:szCs w:val="20"/>
              </w:rPr>
            </w:pPr>
            <w:r>
              <w:rPr>
                <w:rFonts w:hint="eastAsia" w:ascii="方正黑体_GBK" w:hAnsi="方正黑体_GBK" w:eastAsia="方正黑体_GBK" w:cs="方正黑体_GBK"/>
                <w:b/>
                <w:bCs/>
                <w:sz w:val="20"/>
                <w:szCs w:val="20"/>
              </w:rPr>
              <w:t>调整后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5" w:hRule="atLeast"/>
          <w:jc w:val="center"/>
        </w:trPr>
        <w:tc>
          <w:tcPr>
            <w:tcW w:w="936" w:type="dxa"/>
            <w:vAlign w:val="center"/>
          </w:tcPr>
          <w:p>
            <w:pPr>
              <w:spacing w:line="390" w:lineRule="exact"/>
              <w:jc w:val="center"/>
              <w:rPr>
                <w:rFonts w:hint="eastAsia" w:ascii="方正黑体_GBK" w:hAnsi="方正黑体_GBK" w:eastAsia="方正黑体_GBK" w:cs="方正黑体_GBK"/>
                <w:sz w:val="20"/>
                <w:szCs w:val="20"/>
                <w:lang w:eastAsia="zh-CN"/>
              </w:rPr>
            </w:pPr>
            <w:r>
              <w:rPr>
                <w:rFonts w:hint="eastAsia" w:ascii="方正黑体_GBK" w:hAnsi="方正黑体_GBK" w:eastAsia="方正黑体_GBK" w:cs="方正黑体_GBK"/>
                <w:sz w:val="20"/>
                <w:szCs w:val="20"/>
                <w:lang w:eastAsia="zh-CN"/>
              </w:rPr>
              <w:t>投资范围</w:t>
            </w:r>
          </w:p>
        </w:tc>
        <w:tc>
          <w:tcPr>
            <w:tcW w:w="4549" w:type="dxa"/>
            <w:vAlign w:val="center"/>
          </w:tcPr>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本理财产品募集的资金投资于以下金融资产和金融工具，包括但不限于：</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1.现金、银行存款、银行承兑汇票、同业存款、大额存单、同业存单、债券回购、货币基金等货币市场工具；</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3.</w:t>
            </w:r>
            <w:r>
              <w:rPr>
                <w:rFonts w:hint="eastAsia" w:ascii="方正黑体_GBK" w:hAnsi="方正黑体_GBK" w:eastAsia="方正黑体_GBK" w:cs="方正黑体_GBK"/>
                <w:color w:val="000000"/>
                <w:kern w:val="0"/>
                <w:sz w:val="20"/>
                <w:szCs w:val="20"/>
                <w:lang w:eastAsia="zh-CN"/>
              </w:rPr>
              <w:t>理财直接融资工具、</w:t>
            </w:r>
            <w:r>
              <w:rPr>
                <w:rFonts w:hint="eastAsia" w:ascii="方正黑体_GBK" w:hAnsi="方正黑体_GBK" w:eastAsia="方正黑体_GBK" w:cs="方正黑体_GBK"/>
                <w:color w:val="000000"/>
                <w:kern w:val="0"/>
                <w:sz w:val="20"/>
                <w:szCs w:val="20"/>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4.投资范围为上述资产的信托计划、资产管理计划等资产管理产品；</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5.法律法规或监管机构允许投资的符合本理财产品投资性质的其他金融工具；</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6.如存在法律法规或监管机构以后允许投资的其他品种或法律法规或监管政策出现调整，管理人在履行本理财产品销售文件规定的适当程序后，有权调整以上品种。</w:t>
            </w:r>
          </w:p>
        </w:tc>
        <w:tc>
          <w:tcPr>
            <w:tcW w:w="4673" w:type="dxa"/>
            <w:vAlign w:val="center"/>
          </w:tcPr>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本理财产品募集的资金投资于以下金融资产和金融工具，包括但不限于：</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1.现金、银行存款、银行承兑汇票、同业存款、大额存单、同业存单、债券回购、货币基金等货币市场工具；</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4.投资范围为上述资产的信托计划、资产管理计划等资产管理产品；</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5.法律法规或监管机构允许投资的符合本理财产品投资性质的其他金融工具；</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6.如存在法律法规或监管机构以后允许投资的其他品种或法律法规或监管政策出现调整，管理人在履行本理财产品销售文件规定的适当程序后，有权调整以上品种。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4" w:hRule="atLeast"/>
          <w:jc w:val="center"/>
        </w:trPr>
        <w:tc>
          <w:tcPr>
            <w:tcW w:w="936" w:type="dxa"/>
            <w:vAlign w:val="center"/>
          </w:tcPr>
          <w:p>
            <w:pPr>
              <w:spacing w:line="390" w:lineRule="exact"/>
              <w:jc w:val="center"/>
              <w:rPr>
                <w:rFonts w:hint="eastAsia" w:ascii="方正黑体_GBK" w:hAnsi="方正黑体_GBK" w:eastAsia="方正黑体_GBK" w:cs="方正黑体_GBK"/>
                <w:sz w:val="20"/>
                <w:szCs w:val="20"/>
                <w:lang w:eastAsia="zh-CN"/>
              </w:rPr>
            </w:pPr>
            <w:r>
              <w:rPr>
                <w:rFonts w:hint="eastAsia" w:ascii="方正黑体_GBK" w:hAnsi="方正黑体_GBK" w:eastAsia="方正黑体_GBK" w:cs="方正黑体_GBK"/>
                <w:color w:val="000000"/>
                <w:kern w:val="0"/>
                <w:sz w:val="20"/>
                <w:szCs w:val="20"/>
                <w:lang w:eastAsia="zh-CN"/>
              </w:rPr>
              <w:t>理财产品估值</w:t>
            </w:r>
          </w:p>
        </w:tc>
        <w:tc>
          <w:tcPr>
            <w:tcW w:w="4549" w:type="dxa"/>
            <w:vAlign w:val="center"/>
          </w:tcPr>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（一）估值日</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本理财产品每个工作日进行估值。</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（二）估值对象</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本理财产品所拥有的所有资产及负债。</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（三）估值目的</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客观、准确反映理财产品的价值。</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（四）估值原则</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估值中坚持公允价值计量原则。</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（五）估值方法</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1.债券的估值方法 </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1）本理财产品所投债券均在全国银行间债券市场或证券交易所市场交易，按照第三方估值机构提供的相应品种当日的估值净价或收盘价进行估值，不投资在全国银行间债券市场和证券交易所市场两个市场以外交易的债券。</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（2）同一债券同时在两个或两个以上市场交易的，按债券所处的市场分别估值。 </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3）未上市债券（指买入的债券已起息但尚未在全国银行间债券市场或证券交易所市场上市的阶段）及按照上述方法无法取得估值的债券按照其成本估值。应收利息按债券发行利率逐日计提，计入理财产品的当日净值。 </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2.银行存款、回购、借款和拆借以成本列示，按商定利率在实际持有期间内逐日计提利息。</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3.货币市场基金按照每日万份收益计提收益，其他证券投资基金按照最近一个估值日公布的基金净值进行估值。</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4.其他资产：</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存在公允价值的，按照公允价值估值；公允价值不能确定的按照估值技术确定其价值。</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5.如果管理人或托管人认为按以上约定的方法对产品资产进行估值不能客观反映其公允价值的，可提出异议，管理人和托管人协商一致后，变更公允价值的确定方式，并从经管理人与托管人协商一致日起执行。 </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6.如有新增事项或变更事项，按国家最新规定或管理人最新的约定估值。</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开放式理财产品在前一估值日内，产品资产净值50%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3个交易日内告知投资者，并说明运用相关措施的原因、拟采取的应对安排等，投资者需重新进行资金安排。</w:t>
            </w:r>
          </w:p>
        </w:tc>
        <w:tc>
          <w:tcPr>
            <w:tcW w:w="4673" w:type="dxa"/>
            <w:vAlign w:val="center"/>
          </w:tcPr>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（一）估值日</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本理财产品每个工作日进行估值。</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（二）估值对象</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本理财产品所拥有的所有资产及负债。</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（三）估值目的</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客观、准确反映理财产品的价值。</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（四）估值原则</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理财产品应坚持公允价值计量原则，</w:t>
            </w:r>
            <w:r>
              <w:rPr>
                <w:rFonts w:hint="eastAsia" w:ascii="方正黑体_GBK" w:hAnsi="方正黑体_GBK" w:eastAsia="方正黑体_GBK" w:cs="方正黑体_GBK"/>
                <w:color w:val="000000"/>
                <w:kern w:val="0"/>
                <w:sz w:val="20"/>
                <w:szCs w:val="20"/>
                <w:lang w:eastAsia="zh-CN"/>
              </w:rPr>
              <w:t>符合</w:t>
            </w:r>
            <w:r>
              <w:rPr>
                <w:rFonts w:hint="eastAsia" w:ascii="方正黑体_GBK" w:hAnsi="方正黑体_GBK" w:eastAsia="方正黑体_GBK" w:cs="方正黑体_GBK"/>
                <w:color w:val="000000"/>
                <w:kern w:val="0"/>
                <w:sz w:val="20"/>
                <w:szCs w:val="20"/>
              </w:rPr>
              <w:t>会计准则和监管规定的范围内</w:t>
            </w:r>
            <w:r>
              <w:rPr>
                <w:rFonts w:hint="eastAsia" w:ascii="方正黑体_GBK" w:hAnsi="方正黑体_GBK" w:eastAsia="方正黑体_GBK" w:cs="方正黑体_GBK"/>
                <w:color w:val="000000"/>
                <w:kern w:val="0"/>
                <w:sz w:val="20"/>
                <w:szCs w:val="20"/>
                <w:lang w:eastAsia="zh-CN"/>
              </w:rPr>
              <w:t>的可</w:t>
            </w:r>
            <w:r>
              <w:rPr>
                <w:rFonts w:hint="eastAsia" w:ascii="方正黑体_GBK" w:hAnsi="方正黑体_GBK" w:eastAsia="方正黑体_GBK" w:cs="方正黑体_GBK"/>
                <w:color w:val="000000"/>
                <w:kern w:val="0"/>
                <w:sz w:val="20"/>
                <w:szCs w:val="20"/>
              </w:rPr>
              <w:t>选择摊余成本法计量。</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（五）估值方法</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估值方法中列示的资产品种不代表管理人的实际投向，本理财产品拟投资范围以“投资范围”章节描述为准。</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1.银行存款、回购等货币市场工具</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以本金列示，按商定的利率在实际持有期间内逐日计提。</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2.债券类资产</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的，分类为“以摊余成本计量的金融资产”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3.非标准化债权类资产</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以摊余成本计量的金融资产”的资产按摊余成本法估值，并按照会计准则采用合理减值计量模型或第三方减值计量结果进行预期信用损失的减值计提。</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4.证券投资基金</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5.股权类资产</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6.资管计划、信托计划等资产</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存在公允价值的，按照公允价值估值，或采用估值技术确定估值，也可采用被委托机构提供的估值或计量报告。</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7.其他资产</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存在公允价值的，按照公允价值估值，或采用估值技术确定估值，也可采用被委托机构提供的估值或计量报告。具体可参考《企业会计准则》以及相关监管政策的规定。</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8.如果管理人或托管人认为按以上规定的方法对产品资产进行估值不能客观反映其公允价值的，可提出异议，管理人和托管人协商一致后，变更公允价值的确定方式，并从经管理人与托管人协商一致日起执行。</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9.如有新增事项或变更事项，按国家最新规定或管理人最新的约定估值。</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开放式理财产品在前一估值日内，产品资产净值50%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3个交易日内告知投资者，并说明运用相关措施的原因、拟采取的应对安排等，投资者需重新进行资金安排。</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（六）估值错误及暂停估值</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当资产估值或份额净值计价错误且给投资者造成损失的，管理人应立即纠正，并采取合理的措施防止损失进一步扩大。</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color w:val="000000"/>
                <w:kern w:val="0"/>
                <w:sz w:val="20"/>
                <w:szCs w:val="20"/>
              </w:rPr>
              <w:t>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tc>
      </w:tr>
    </w:tbl>
    <w:p>
      <w:pPr>
        <w:ind w:firstLine="420"/>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sz w:val="24"/>
          <w:szCs w:val="24"/>
        </w:rPr>
        <w:t>同时，本公司对理财产品销售文件进行了更新，更新后的理财产品销售文件详见</w:t>
      </w:r>
      <w:r>
        <w:rPr>
          <w:rFonts w:hint="eastAsia" w:ascii="方正黑体_GBK" w:hAnsi="方正黑体_GBK" w:eastAsia="方正黑体_GBK" w:cs="方正黑体_GBK"/>
          <w:sz w:val="24"/>
          <w:szCs w:val="24"/>
          <w:lang w:val="en-US" w:eastAsia="zh-CN"/>
        </w:rPr>
        <w:t>信息披露</w:t>
      </w:r>
      <w:r>
        <w:rPr>
          <w:rFonts w:hint="eastAsia" w:ascii="方正黑体_GBK" w:hAnsi="方正黑体_GBK" w:eastAsia="方正黑体_GBK" w:cs="方正黑体_GBK"/>
          <w:sz w:val="24"/>
          <w:szCs w:val="24"/>
        </w:rPr>
        <w:t>。</w:t>
      </w:r>
    </w:p>
    <w:p>
      <w:pPr>
        <w:ind w:firstLine="420"/>
        <w:rPr>
          <w:rFonts w:hint="eastAsia" w:ascii="方正黑体_GBK" w:hAnsi="方正黑体_GBK" w:eastAsia="方正黑体_GBK" w:cs="方正黑体_GBK"/>
          <w:sz w:val="24"/>
        </w:rPr>
      </w:pPr>
      <w:r>
        <w:rPr>
          <w:rFonts w:hint="eastAsia" w:ascii="方正黑体_GBK" w:hAnsi="方正黑体_GBK" w:eastAsia="方正黑体_GBK" w:cs="方正黑体_GBK"/>
          <w:b/>
          <w:bCs/>
          <w:sz w:val="24"/>
        </w:rPr>
        <w:t>如您不同意上述调整，可于202</w:t>
      </w:r>
      <w:r>
        <w:rPr>
          <w:rFonts w:hint="eastAsia" w:ascii="方正黑体_GBK" w:hAnsi="方正黑体_GBK" w:eastAsia="方正黑体_GBK" w:cs="方正黑体_GBK"/>
          <w:b/>
          <w:bCs/>
          <w:sz w:val="24"/>
          <w:lang w:val="en-US" w:eastAsia="zh-CN"/>
        </w:rPr>
        <w:t>4</w:t>
      </w:r>
      <w:r>
        <w:rPr>
          <w:rFonts w:hint="eastAsia" w:ascii="方正黑体_GBK" w:hAnsi="方正黑体_GBK" w:eastAsia="方正黑体_GBK" w:cs="方正黑体_GBK"/>
          <w:b/>
          <w:bCs/>
          <w:sz w:val="24"/>
        </w:rPr>
        <w:t>年</w:t>
      </w:r>
      <w:r>
        <w:rPr>
          <w:rFonts w:hint="eastAsia" w:ascii="方正黑体_GBK" w:hAnsi="方正黑体_GBK" w:eastAsia="方正黑体_GBK" w:cs="方正黑体_GBK"/>
          <w:b/>
          <w:bCs/>
          <w:sz w:val="24"/>
          <w:lang w:val="en-US" w:eastAsia="zh-CN"/>
        </w:rPr>
        <w:t>7</w:t>
      </w:r>
      <w:r>
        <w:rPr>
          <w:rFonts w:hint="eastAsia" w:ascii="方正黑体_GBK" w:hAnsi="方正黑体_GBK" w:eastAsia="方正黑体_GBK" w:cs="方正黑体_GBK"/>
          <w:b/>
          <w:bCs/>
          <w:sz w:val="24"/>
        </w:rPr>
        <w:t>月</w:t>
      </w:r>
      <w:r>
        <w:rPr>
          <w:rFonts w:hint="eastAsia" w:ascii="方正黑体_GBK" w:hAnsi="方正黑体_GBK" w:eastAsia="方正黑体_GBK" w:cs="方正黑体_GBK"/>
          <w:b/>
          <w:bCs/>
          <w:sz w:val="24"/>
          <w:lang w:val="en-US" w:eastAsia="zh-CN"/>
        </w:rPr>
        <w:t>25</w:t>
      </w:r>
      <w:r>
        <w:rPr>
          <w:rFonts w:hint="eastAsia" w:ascii="方正黑体_GBK" w:hAnsi="方正黑体_GBK" w:eastAsia="方正黑体_GBK" w:cs="方正黑体_GBK"/>
          <w:b/>
          <w:bCs/>
          <w:sz w:val="24"/>
        </w:rPr>
        <w:t>日至202</w:t>
      </w:r>
      <w:r>
        <w:rPr>
          <w:rFonts w:hint="eastAsia" w:ascii="方正黑体_GBK" w:hAnsi="方正黑体_GBK" w:eastAsia="方正黑体_GBK" w:cs="方正黑体_GBK"/>
          <w:b/>
          <w:bCs/>
          <w:sz w:val="24"/>
          <w:lang w:val="en-US" w:eastAsia="zh-CN"/>
        </w:rPr>
        <w:t>4</w:t>
      </w:r>
      <w:r>
        <w:rPr>
          <w:rFonts w:hint="eastAsia" w:ascii="方正黑体_GBK" w:hAnsi="方正黑体_GBK" w:eastAsia="方正黑体_GBK" w:cs="方正黑体_GBK"/>
          <w:b/>
          <w:bCs/>
          <w:sz w:val="24"/>
        </w:rPr>
        <w:t>年</w:t>
      </w:r>
      <w:r>
        <w:rPr>
          <w:rFonts w:hint="eastAsia" w:ascii="方正黑体_GBK" w:hAnsi="方正黑体_GBK" w:eastAsia="方正黑体_GBK" w:cs="方正黑体_GBK"/>
          <w:b/>
          <w:bCs/>
          <w:sz w:val="24"/>
          <w:lang w:val="en-US" w:eastAsia="zh-CN"/>
        </w:rPr>
        <w:t>7</w:t>
      </w:r>
      <w:r>
        <w:rPr>
          <w:rFonts w:hint="eastAsia" w:ascii="方正黑体_GBK" w:hAnsi="方正黑体_GBK" w:eastAsia="方正黑体_GBK" w:cs="方正黑体_GBK"/>
          <w:b/>
          <w:bCs/>
          <w:sz w:val="24"/>
        </w:rPr>
        <w:t>月</w:t>
      </w:r>
      <w:r>
        <w:rPr>
          <w:rFonts w:hint="eastAsia" w:ascii="方正黑体_GBK" w:hAnsi="方正黑体_GBK" w:eastAsia="方正黑体_GBK" w:cs="方正黑体_GBK"/>
          <w:b/>
          <w:bCs/>
          <w:sz w:val="24"/>
          <w:lang w:val="en-US" w:eastAsia="zh-CN"/>
        </w:rPr>
        <w:t>31</w:t>
      </w:r>
      <w:r>
        <w:rPr>
          <w:rFonts w:hint="eastAsia" w:ascii="方正黑体_GBK" w:hAnsi="方正黑体_GBK" w:eastAsia="方正黑体_GBK" w:cs="方正黑体_GBK"/>
          <w:b/>
          <w:bCs/>
          <w:sz w:val="24"/>
        </w:rPr>
        <w:t>日（产品申购/赎回开放期期间）通过</w:t>
      </w:r>
      <w:r>
        <w:rPr>
          <w:rFonts w:hint="eastAsia" w:ascii="方正黑体_GBK" w:hAnsi="方正黑体_GBK" w:eastAsia="方正黑体_GBK" w:cs="方正黑体_GBK"/>
          <w:b/>
          <w:bCs/>
          <w:sz w:val="24"/>
          <w:lang w:eastAsia="zh-CN"/>
        </w:rPr>
        <w:t>销售</w:t>
      </w:r>
      <w:r>
        <w:rPr>
          <w:rFonts w:hint="eastAsia" w:ascii="方正黑体_GBK" w:hAnsi="方正黑体_GBK" w:eastAsia="方正黑体_GBK" w:cs="方正黑体_GBK"/>
          <w:b/>
          <w:bCs/>
          <w:sz w:val="24"/>
        </w:rPr>
        <w:t>机构向管理人申请赎回。</w:t>
      </w:r>
    </w:p>
    <w:p>
      <w:pPr>
        <w:ind w:firstLine="420"/>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如您对本公告有任何疑问，可联系本理财产品</w:t>
      </w:r>
      <w:r>
        <w:rPr>
          <w:rFonts w:hint="eastAsia" w:ascii="方正黑体_GBK" w:hAnsi="方正黑体_GBK" w:eastAsia="方正黑体_GBK" w:cs="方正黑体_GBK"/>
          <w:sz w:val="24"/>
          <w:lang w:eastAsia="zh-CN"/>
        </w:rPr>
        <w:t>销售</w:t>
      </w:r>
      <w:r>
        <w:rPr>
          <w:rFonts w:hint="eastAsia" w:ascii="方正黑体_GBK" w:hAnsi="方正黑体_GBK" w:eastAsia="方正黑体_GBK" w:cs="方正黑体_GBK"/>
          <w:sz w:val="24"/>
        </w:rPr>
        <w:t>机构或本公司，</w:t>
      </w:r>
      <w:r>
        <w:rPr>
          <w:rFonts w:hint="eastAsia" w:ascii="方正黑体_GBK" w:hAnsi="方正黑体_GBK" w:eastAsia="方正黑体_GBK" w:cs="方正黑体_GBK"/>
          <w:sz w:val="24"/>
          <w:lang w:eastAsia="zh-CN"/>
        </w:rPr>
        <w:t>我们</w:t>
      </w:r>
      <w:r>
        <w:rPr>
          <w:rFonts w:hint="eastAsia" w:ascii="方正黑体_GBK" w:hAnsi="方正黑体_GBK" w:eastAsia="方正黑体_GBK" w:cs="方正黑体_GBK"/>
          <w:sz w:val="24"/>
        </w:rPr>
        <w:t>将竭诚为您服务。</w:t>
      </w:r>
    </w:p>
    <w:p>
      <w:pPr>
        <w:ind w:firstLine="420"/>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感谢您一直以来的支持与信赖！</w:t>
      </w:r>
    </w:p>
    <w:p>
      <w:pPr>
        <w:ind w:firstLine="420"/>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特此公告。</w:t>
      </w:r>
    </w:p>
    <w:p>
      <w:pPr>
        <w:ind w:firstLine="420"/>
        <w:jc w:val="righ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南银理财有限责任公司</w:t>
      </w:r>
    </w:p>
    <w:p>
      <w:pPr>
        <w:ind w:firstLine="420"/>
        <w:jc w:val="righ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202</w:t>
      </w:r>
      <w:r>
        <w:rPr>
          <w:rFonts w:hint="eastAsia" w:ascii="方正黑体_GBK" w:hAnsi="方正黑体_GBK" w:eastAsia="方正黑体_GBK" w:cs="方正黑体_GBK"/>
          <w:sz w:val="24"/>
          <w:lang w:val="en-US" w:eastAsia="zh-CN"/>
        </w:rPr>
        <w:t>4</w:t>
      </w:r>
      <w:r>
        <w:rPr>
          <w:rFonts w:hint="eastAsia" w:ascii="方正黑体_GBK" w:hAnsi="方正黑体_GBK" w:eastAsia="方正黑体_GBK" w:cs="方正黑体_GBK"/>
          <w:sz w:val="24"/>
        </w:rPr>
        <w:t>年</w:t>
      </w:r>
      <w:r>
        <w:rPr>
          <w:rFonts w:hint="eastAsia" w:ascii="方正黑体_GBK" w:hAnsi="方正黑体_GBK" w:eastAsia="方正黑体_GBK" w:cs="方正黑体_GBK"/>
          <w:sz w:val="24"/>
          <w:lang w:val="en-US" w:eastAsia="zh-CN"/>
        </w:rPr>
        <w:t>7</w:t>
      </w:r>
      <w:r>
        <w:rPr>
          <w:rFonts w:hint="eastAsia" w:ascii="方正黑体_GBK" w:hAnsi="方正黑体_GBK" w:eastAsia="方正黑体_GBK" w:cs="方正黑体_GBK"/>
          <w:sz w:val="24"/>
        </w:rPr>
        <w:t>月</w:t>
      </w:r>
      <w:r>
        <w:rPr>
          <w:rFonts w:hint="eastAsia" w:ascii="方正黑体_GBK" w:hAnsi="方正黑体_GBK" w:eastAsia="方正黑体_GBK" w:cs="方正黑体_GBK"/>
          <w:sz w:val="24"/>
          <w:lang w:val="en-US" w:eastAsia="zh-CN"/>
        </w:rPr>
        <w:t>19</w:t>
      </w:r>
      <w:r>
        <w:rPr>
          <w:rFonts w:hint="eastAsia" w:ascii="方正黑体_GBK" w:hAnsi="方正黑体_GBK" w:eastAsia="方正黑体_GBK" w:cs="方正黑体_GBK"/>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ZGZjZGI0NDAxNWRlYTU1MDQzODcxYWQzMWNkMWYifQ=="/>
  </w:docVars>
  <w:rsids>
    <w:rsidRoot w:val="00172A27"/>
    <w:rsid w:val="000B116D"/>
    <w:rsid w:val="000D47C0"/>
    <w:rsid w:val="0010350A"/>
    <w:rsid w:val="00141B77"/>
    <w:rsid w:val="00143E93"/>
    <w:rsid w:val="002E06B8"/>
    <w:rsid w:val="00345495"/>
    <w:rsid w:val="004E61C2"/>
    <w:rsid w:val="00520B4F"/>
    <w:rsid w:val="00540312"/>
    <w:rsid w:val="005B2E63"/>
    <w:rsid w:val="00614091"/>
    <w:rsid w:val="00693870"/>
    <w:rsid w:val="006956DE"/>
    <w:rsid w:val="00716EE2"/>
    <w:rsid w:val="007A3BC2"/>
    <w:rsid w:val="007C15E8"/>
    <w:rsid w:val="00815684"/>
    <w:rsid w:val="00817A74"/>
    <w:rsid w:val="008255F5"/>
    <w:rsid w:val="0084156F"/>
    <w:rsid w:val="00914515"/>
    <w:rsid w:val="009C5DC2"/>
    <w:rsid w:val="009E1FBB"/>
    <w:rsid w:val="00AE5399"/>
    <w:rsid w:val="00B25C46"/>
    <w:rsid w:val="00B45E07"/>
    <w:rsid w:val="00C032B8"/>
    <w:rsid w:val="00C63875"/>
    <w:rsid w:val="00CE22FD"/>
    <w:rsid w:val="00CE5832"/>
    <w:rsid w:val="00CF6344"/>
    <w:rsid w:val="00D46835"/>
    <w:rsid w:val="00D920FD"/>
    <w:rsid w:val="00DA7481"/>
    <w:rsid w:val="00E22FB5"/>
    <w:rsid w:val="00E25963"/>
    <w:rsid w:val="00E305D5"/>
    <w:rsid w:val="00E63108"/>
    <w:rsid w:val="00EB61C7"/>
    <w:rsid w:val="00F5371B"/>
    <w:rsid w:val="06424EFE"/>
    <w:rsid w:val="065344DE"/>
    <w:rsid w:val="08495703"/>
    <w:rsid w:val="09511669"/>
    <w:rsid w:val="0B4F505C"/>
    <w:rsid w:val="0E8D7052"/>
    <w:rsid w:val="11185866"/>
    <w:rsid w:val="11195352"/>
    <w:rsid w:val="12C644CE"/>
    <w:rsid w:val="12ED368B"/>
    <w:rsid w:val="14400082"/>
    <w:rsid w:val="14B956E3"/>
    <w:rsid w:val="14DF3057"/>
    <w:rsid w:val="151D2EB9"/>
    <w:rsid w:val="1B2672F4"/>
    <w:rsid w:val="1C9E0F0F"/>
    <w:rsid w:val="1CE329C9"/>
    <w:rsid w:val="1FA55D69"/>
    <w:rsid w:val="2077191A"/>
    <w:rsid w:val="217660FF"/>
    <w:rsid w:val="22155872"/>
    <w:rsid w:val="237C6A67"/>
    <w:rsid w:val="244D5031"/>
    <w:rsid w:val="26404A45"/>
    <w:rsid w:val="269D79D3"/>
    <w:rsid w:val="288A56D2"/>
    <w:rsid w:val="29886215"/>
    <w:rsid w:val="2AF819D9"/>
    <w:rsid w:val="2B0943F8"/>
    <w:rsid w:val="2B2C5E79"/>
    <w:rsid w:val="2BC35330"/>
    <w:rsid w:val="2CE37ABA"/>
    <w:rsid w:val="2E7472D1"/>
    <w:rsid w:val="307B1078"/>
    <w:rsid w:val="3213175B"/>
    <w:rsid w:val="360F7DFC"/>
    <w:rsid w:val="363E586D"/>
    <w:rsid w:val="37726E1F"/>
    <w:rsid w:val="395A49DF"/>
    <w:rsid w:val="39B1266A"/>
    <w:rsid w:val="3AFF6A34"/>
    <w:rsid w:val="3B276116"/>
    <w:rsid w:val="3C281CA8"/>
    <w:rsid w:val="3C5D1AF8"/>
    <w:rsid w:val="3D7967DF"/>
    <w:rsid w:val="3ED13FAD"/>
    <w:rsid w:val="405A1CAC"/>
    <w:rsid w:val="4069216E"/>
    <w:rsid w:val="410C0110"/>
    <w:rsid w:val="438E2EF2"/>
    <w:rsid w:val="44511A9E"/>
    <w:rsid w:val="445913F0"/>
    <w:rsid w:val="452D6470"/>
    <w:rsid w:val="4552760B"/>
    <w:rsid w:val="465855EA"/>
    <w:rsid w:val="466900D1"/>
    <w:rsid w:val="46BD5FFF"/>
    <w:rsid w:val="46F53F15"/>
    <w:rsid w:val="491164B3"/>
    <w:rsid w:val="4A1A0AFD"/>
    <w:rsid w:val="4ACD4267"/>
    <w:rsid w:val="4AE6615C"/>
    <w:rsid w:val="4B226EFD"/>
    <w:rsid w:val="4B385C6F"/>
    <w:rsid w:val="4D4D5B4E"/>
    <w:rsid w:val="4E15569D"/>
    <w:rsid w:val="4F0673A2"/>
    <w:rsid w:val="514800FA"/>
    <w:rsid w:val="527033B8"/>
    <w:rsid w:val="531D1627"/>
    <w:rsid w:val="58FF407B"/>
    <w:rsid w:val="5B063EB2"/>
    <w:rsid w:val="5B1E7D3C"/>
    <w:rsid w:val="5BB35481"/>
    <w:rsid w:val="5CA644DC"/>
    <w:rsid w:val="5D107103"/>
    <w:rsid w:val="5D2D762B"/>
    <w:rsid w:val="5D7A33E9"/>
    <w:rsid w:val="5DFB460D"/>
    <w:rsid w:val="5E575A76"/>
    <w:rsid w:val="5E791A8D"/>
    <w:rsid w:val="611F7D37"/>
    <w:rsid w:val="62213976"/>
    <w:rsid w:val="64C913FB"/>
    <w:rsid w:val="66B95B6F"/>
    <w:rsid w:val="66F86621"/>
    <w:rsid w:val="69B93A27"/>
    <w:rsid w:val="6B4060BF"/>
    <w:rsid w:val="6BCB670E"/>
    <w:rsid w:val="6C055395"/>
    <w:rsid w:val="6CB121FC"/>
    <w:rsid w:val="6DF224AA"/>
    <w:rsid w:val="6F4D4C8B"/>
    <w:rsid w:val="727E02EB"/>
    <w:rsid w:val="73D74382"/>
    <w:rsid w:val="73FD3121"/>
    <w:rsid w:val="75231B84"/>
    <w:rsid w:val="774150D6"/>
    <w:rsid w:val="776E7761"/>
    <w:rsid w:val="79147CC5"/>
    <w:rsid w:val="7AAB2866"/>
    <w:rsid w:val="7B664A27"/>
    <w:rsid w:val="7C58393C"/>
    <w:rsid w:val="7D1F2D8B"/>
    <w:rsid w:val="7E7323DB"/>
    <w:rsid w:val="7ECE1F2B"/>
    <w:rsid w:val="7F0A3057"/>
    <w:rsid w:val="7F8411E4"/>
    <w:rsid w:val="7F8A34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2" w:beforeLines="0" w:after="102" w:afterLines="0" w:line="1099" w:lineRule="atLeast"/>
      <w:ind w:firstLine="419"/>
      <w:jc w:val="left"/>
      <w:textAlignment w:val="baseline"/>
    </w:pPr>
    <w:rPr>
      <w:color w:val="000000"/>
      <w:kern w:val="0"/>
      <w:sz w:val="24"/>
      <w:u w:val="none" w:color="00000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0"/>
    <w:rPr>
      <w:kern w:val="2"/>
      <w:sz w:val="18"/>
      <w:szCs w:val="18"/>
    </w:rPr>
  </w:style>
  <w:style w:type="character" w:customStyle="1" w:styleId="11">
    <w:name w:val="页脚 Char"/>
    <w:basedOn w:val="9"/>
    <w:link w:val="4"/>
    <w:qFormat/>
    <w:uiPriority w:val="0"/>
    <w:rPr>
      <w:kern w:val="2"/>
      <w:sz w:val="18"/>
      <w:szCs w:val="18"/>
    </w:rPr>
  </w:style>
  <w:style w:type="character" w:customStyle="1" w:styleId="12">
    <w:name w:val="批注框文本 Char"/>
    <w:basedOn w:val="9"/>
    <w:link w:val="3"/>
    <w:qFormat/>
    <w:uiPriority w:val="0"/>
    <w:rPr>
      <w:kern w:val="2"/>
      <w:sz w:val="18"/>
      <w:szCs w:val="18"/>
    </w:rPr>
  </w:style>
  <w:style w:type="paragraph" w:customStyle="1" w:styleId="13">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5111</Words>
  <Characters>5190</Characters>
  <Lines>16</Lines>
  <Paragraphs>4</Paragraphs>
  <TotalTime>118</TotalTime>
  <ScaleCrop>false</ScaleCrop>
  <LinksUpToDate>false</LinksUpToDate>
  <CharactersWithSpaces>5190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2022-06-13T10:07:00Z</dcterms:created>
  <dc:creator>钱哲贤</dc:creator>
  <cp:lastModifiedBy>高冬星</cp:lastModifiedBy>
  <cp:lastPrinted>2022-07-06T07:45:00Z</cp:lastPrinted>
  <dcterms:modified xsi:type="dcterms:W3CDTF">2024-07-17T10:08:03Z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41905BA7139B444E9A493E3ED22180E7</vt:lpwstr>
  </property>
</Properties>
</file>