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M86GK79VQ00TGQYRNQL057N8MOYPREJ06FJDWXFGRTELT68BJQC0EFSUHPC6RBXM6COLIZH5D8HNJQXFAQFF68RNMWI5B8FOD0HB34FD17FD062303BE01D880157A4285C30" Type="http://schemas.microsoft.com/office/2006/relationships/officeDocumentMain" Target="docProps/core.xml"/><Relationship Id="SYWMP6BV7R9Q06TGRZR8ZLJZ7NZ0OXVREE06TJDWXFM8TDLTZ8BJIC0EFYSTPD6RBSMXOOLHZIWD8INJQXFTDFFZ8RF0WMWBAOOODHB3EB7BBFC270F25A6AF1B3D0A102564850"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67" w:rsidRDefault="009D1C30">
      <w:pPr>
        <w:spacing w:line="0" w:lineRule="atLeast"/>
        <w:jc w:val="center"/>
        <w:rPr>
          <w:b/>
          <w:bCs/>
          <w:kern w:val="0"/>
          <w:sz w:val="24"/>
          <w:szCs w:val="24"/>
        </w:rPr>
      </w:pPr>
      <w:r>
        <w:rPr>
          <w:rFonts w:hint="eastAsia"/>
          <w:b/>
          <w:bCs/>
          <w:kern w:val="0"/>
          <w:sz w:val="24"/>
          <w:szCs w:val="24"/>
        </w:rPr>
        <w:t>理财产品风险揭示书</w:t>
      </w:r>
    </w:p>
    <w:p w:rsidR="00111C67" w:rsidRDefault="009D1C3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11C67" w:rsidRDefault="009D1C3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11C67" w:rsidRDefault="009D1C3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11C67" w:rsidRDefault="009D1C3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11C67" w:rsidRDefault="009D1C3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11C67" w:rsidRDefault="009D1C3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11C67" w:rsidRDefault="009D1C3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11C67" w:rsidRDefault="009D1C3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11C67" w:rsidRDefault="009D1C3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11C67" w:rsidRDefault="009D1C3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11C67" w:rsidRDefault="009D1C30">
      <w:pPr>
        <w:pStyle w:val="Normala5540f7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11C67" w:rsidRDefault="009D1C30">
      <w:pPr>
        <w:spacing w:line="200" w:lineRule="exact"/>
      </w:pPr>
      <w:r>
        <w:rPr>
          <w:rFonts w:cs="宋体"/>
          <w:b/>
          <w:sz w:val="13"/>
          <w:szCs w:val="20"/>
        </w:rPr>
        <w:t xml:space="preserve">    1.</w:t>
      </w:r>
      <w:r>
        <w:rPr>
          <w:rFonts w:cs="宋体"/>
          <w:b/>
          <w:sz w:val="13"/>
          <w:szCs w:val="20"/>
        </w:rPr>
        <w:t>债券类资产投资风险</w:t>
      </w:r>
    </w:p>
    <w:p w:rsidR="00111C67" w:rsidRDefault="009D1C3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11C67" w:rsidRDefault="009D1C30">
      <w:pPr>
        <w:spacing w:line="200" w:lineRule="exact"/>
      </w:pPr>
      <w:r>
        <w:rPr>
          <w:rFonts w:cs="宋体"/>
          <w:b/>
          <w:sz w:val="13"/>
          <w:szCs w:val="20"/>
        </w:rPr>
        <w:t xml:space="preserve">    2.</w:t>
      </w:r>
      <w:r>
        <w:rPr>
          <w:rFonts w:cs="宋体"/>
          <w:b/>
          <w:sz w:val="13"/>
          <w:szCs w:val="20"/>
        </w:rPr>
        <w:t>非标准化债权类资产投资风险</w:t>
      </w:r>
    </w:p>
    <w:p w:rsidR="00111C67" w:rsidRDefault="009D1C3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11C67" w:rsidRDefault="009D1C30">
      <w:pPr>
        <w:spacing w:line="200" w:lineRule="exact"/>
      </w:pPr>
      <w:r>
        <w:rPr>
          <w:rFonts w:cs="宋体"/>
          <w:b/>
          <w:sz w:val="13"/>
          <w:szCs w:val="20"/>
        </w:rPr>
        <w:lastRenderedPageBreak/>
        <w:t xml:space="preserve">    3.</w:t>
      </w:r>
      <w:r>
        <w:rPr>
          <w:rFonts w:cs="宋体"/>
          <w:b/>
          <w:sz w:val="13"/>
          <w:szCs w:val="20"/>
        </w:rPr>
        <w:t>权益类资产投资风险</w:t>
      </w:r>
    </w:p>
    <w:p w:rsidR="00111C67" w:rsidRDefault="009D1C30">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111C67" w:rsidRDefault="009D1C30">
      <w:pPr>
        <w:spacing w:line="200" w:lineRule="exact"/>
      </w:pPr>
      <w:r>
        <w:rPr>
          <w:rFonts w:cs="宋体"/>
          <w:b/>
          <w:sz w:val="13"/>
          <w:szCs w:val="20"/>
        </w:rPr>
        <w:t xml:space="preserve">    4.</w:t>
      </w:r>
      <w:r>
        <w:rPr>
          <w:rFonts w:cs="宋体"/>
          <w:b/>
          <w:sz w:val="13"/>
          <w:szCs w:val="20"/>
        </w:rPr>
        <w:t>资产管理产品投资风险</w:t>
      </w:r>
    </w:p>
    <w:p w:rsidR="00111C67" w:rsidRDefault="009D1C3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11C67" w:rsidRDefault="009D1C30">
      <w:pPr>
        <w:pStyle w:val="Normala5540f79"/>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111C67" w:rsidRDefault="009D1C30">
      <w:pPr>
        <w:pStyle w:val="Normala5540f79"/>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w:t>
      </w:r>
      <w:r>
        <w:rPr>
          <w:rFonts w:hint="eastAsia"/>
          <w:b/>
          <w:color w:val="3D3D3D"/>
          <w:kern w:val="0"/>
          <w:sz w:val="13"/>
          <w:szCs w:val="13"/>
        </w:rPr>
        <w:t>被提前终止或延期终止，以实际到期日计算持有天数）</w:t>
      </w:r>
      <w:r>
        <w:rPr>
          <w:rFonts w:hint="eastAsia"/>
          <w:b/>
          <w:color w:val="3D3D3D"/>
          <w:kern w:val="0"/>
          <w:sz w:val="13"/>
          <w:szCs w:val="13"/>
        </w:rPr>
        <w:t>。</w:t>
      </w:r>
    </w:p>
    <w:p w:rsidR="00111C67" w:rsidRDefault="009D1C3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111C67" w:rsidRDefault="009D1C3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11C67" w:rsidRDefault="009D1C30">
      <w:pPr>
        <w:pStyle w:val="Normala5540f7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11C67" w:rsidRDefault="009D1C30">
      <w:pPr>
        <w:pStyle w:val="Normala5540f7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11C67" w:rsidRDefault="009D1C30">
      <w:pPr>
        <w:pStyle w:val="Normala5540f79"/>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11C67" w:rsidRDefault="009D1C30">
      <w:pPr>
        <w:pStyle w:val="Normala5540f7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11C67" w:rsidRDefault="00111C67">
      <w:pPr>
        <w:pStyle w:val="Normala5540f79"/>
        <w:widowControl/>
        <w:spacing w:line="200" w:lineRule="exact"/>
        <w:ind w:firstLine="260"/>
        <w:rPr>
          <w:b/>
          <w:color w:val="3D3D3D"/>
          <w:kern w:val="0"/>
          <w:sz w:val="13"/>
          <w:szCs w:val="13"/>
        </w:rPr>
      </w:pPr>
    </w:p>
    <w:p w:rsidR="00111C67" w:rsidRDefault="009D1C30">
      <w:pPr>
        <w:pStyle w:val="Normala5540f7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11C67" w:rsidRDefault="00111C67">
      <w:pPr>
        <w:pStyle w:val="Normala5540f79"/>
        <w:widowControl/>
        <w:spacing w:line="200" w:lineRule="exact"/>
        <w:ind w:firstLine="260"/>
        <w:jc w:val="center"/>
        <w:rPr>
          <w:b/>
          <w:color w:val="3D3D3D"/>
          <w:kern w:val="0"/>
          <w:sz w:val="15"/>
          <w:szCs w:val="15"/>
          <w:u w:val="single"/>
        </w:rPr>
      </w:pPr>
    </w:p>
    <w:p w:rsidR="00111C67" w:rsidRDefault="009D1C30">
      <w:pPr>
        <w:pStyle w:val="Normala5540f7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11C67" w:rsidRDefault="009D1C3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11C67" w:rsidRDefault="009D1C3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11C67" w:rsidRDefault="009D1C3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11C67" w:rsidRDefault="009D1C3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11C67" w:rsidRDefault="009D1C3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11C67" w:rsidRDefault="009D1C3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11C67" w:rsidRDefault="009D1C3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111C67" w:rsidRDefault="009D1C3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111C67" w:rsidRDefault="009D1C3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11C67" w:rsidRDefault="009D1C30">
      <w:pPr>
        <w:widowControl/>
        <w:spacing w:line="200" w:lineRule="exact"/>
        <w:ind w:firstLine="210"/>
        <w:rPr>
          <w:color w:val="3D3D3D"/>
          <w:kern w:val="0"/>
          <w:sz w:val="15"/>
          <w:szCs w:val="15"/>
        </w:rPr>
      </w:pPr>
      <w:r>
        <w:rPr>
          <w:rFonts w:hint="eastAsia"/>
          <w:color w:val="3D3D3D"/>
          <w:kern w:val="0"/>
          <w:sz w:val="15"/>
          <w:szCs w:val="15"/>
        </w:rPr>
        <w:t xml:space="preserve">         </w:t>
      </w:r>
    </w:p>
    <w:p w:rsidR="00111C67" w:rsidRDefault="00111C67">
      <w:pPr>
        <w:widowControl/>
        <w:spacing w:line="200" w:lineRule="exact"/>
        <w:ind w:firstLine="210"/>
        <w:rPr>
          <w:color w:val="3D3D3D"/>
          <w:kern w:val="0"/>
          <w:sz w:val="15"/>
          <w:szCs w:val="15"/>
        </w:rPr>
      </w:pPr>
    </w:p>
    <w:p w:rsidR="00111C67" w:rsidRDefault="009D1C3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11C67" w:rsidRDefault="00111C67">
      <w:pPr>
        <w:widowControl/>
        <w:spacing w:line="200" w:lineRule="exact"/>
        <w:ind w:firstLine="210"/>
        <w:rPr>
          <w:color w:val="3D3D3D"/>
          <w:kern w:val="0"/>
          <w:sz w:val="13"/>
          <w:szCs w:val="13"/>
        </w:rPr>
      </w:pPr>
    </w:p>
    <w:p w:rsidR="00111C67" w:rsidRDefault="00111C67">
      <w:pPr>
        <w:widowControl/>
        <w:spacing w:line="200" w:lineRule="exact"/>
        <w:ind w:firstLine="210"/>
        <w:jc w:val="left"/>
        <w:rPr>
          <w:color w:val="3D3D3D"/>
          <w:kern w:val="0"/>
          <w:sz w:val="13"/>
          <w:szCs w:val="13"/>
        </w:rPr>
      </w:pPr>
    </w:p>
    <w:p w:rsidR="00111C67" w:rsidRDefault="00111C67">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11C6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400" w:lineRule="exact"/>
              <w:jc w:val="center"/>
              <w:rPr>
                <w:b/>
                <w:sz w:val="15"/>
                <w:szCs w:val="15"/>
              </w:rPr>
            </w:pPr>
            <w:r>
              <w:rPr>
                <w:rFonts w:hint="eastAsia"/>
                <w:b/>
                <w:sz w:val="15"/>
                <w:szCs w:val="15"/>
              </w:rPr>
              <w:t>个人投资者</w:t>
            </w:r>
          </w:p>
        </w:tc>
      </w:tr>
      <w:tr w:rsidR="00111C67">
        <w:tc>
          <w:tcPr>
            <w:tcW w:w="9287" w:type="dxa"/>
            <w:tcBorders>
              <w:top w:val="single" w:sz="4" w:space="0" w:color="auto"/>
              <w:left w:val="single" w:sz="4" w:space="0" w:color="auto"/>
              <w:bottom w:val="single" w:sz="4" w:space="0" w:color="auto"/>
              <w:right w:val="single" w:sz="4" w:space="0" w:color="auto"/>
              <w:tl2br w:val="nil"/>
              <w:tr2bl w:val="nil"/>
            </w:tcBorders>
          </w:tcPr>
          <w:p w:rsidR="00111C67" w:rsidRDefault="009D1C30">
            <w:pPr>
              <w:widowControl/>
              <w:spacing w:line="360" w:lineRule="auto"/>
              <w:rPr>
                <w:color w:val="3D3D3D"/>
                <w:kern w:val="0"/>
                <w:sz w:val="13"/>
                <w:szCs w:val="13"/>
              </w:rPr>
            </w:pPr>
            <w:r>
              <w:rPr>
                <w:rFonts w:hint="eastAsia"/>
                <w:sz w:val="15"/>
                <w:szCs w:val="15"/>
              </w:rPr>
              <w:t>签名：</w:t>
            </w:r>
          </w:p>
          <w:p w:rsidR="00111C67" w:rsidRDefault="009D1C3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11C6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400" w:lineRule="exact"/>
              <w:jc w:val="center"/>
              <w:rPr>
                <w:sz w:val="15"/>
                <w:szCs w:val="15"/>
              </w:rPr>
            </w:pPr>
            <w:r>
              <w:rPr>
                <w:rFonts w:hint="eastAsia"/>
                <w:b/>
                <w:bCs/>
                <w:color w:val="3D3D3D"/>
                <w:kern w:val="0"/>
                <w:sz w:val="15"/>
                <w:szCs w:val="15"/>
              </w:rPr>
              <w:t>机构投资者</w:t>
            </w:r>
          </w:p>
        </w:tc>
      </w:tr>
      <w:tr w:rsidR="00111C67">
        <w:tc>
          <w:tcPr>
            <w:tcW w:w="9287" w:type="dxa"/>
            <w:tcBorders>
              <w:top w:val="single" w:sz="4" w:space="0" w:color="auto"/>
              <w:left w:val="single" w:sz="4" w:space="0" w:color="auto"/>
              <w:bottom w:val="single" w:sz="4" w:space="0" w:color="auto"/>
              <w:right w:val="single" w:sz="4" w:space="0" w:color="auto"/>
              <w:tl2br w:val="nil"/>
              <w:tr2bl w:val="nil"/>
            </w:tcBorders>
          </w:tcPr>
          <w:p w:rsidR="00111C67" w:rsidRDefault="00111C67">
            <w:pPr>
              <w:widowControl/>
              <w:spacing w:line="200" w:lineRule="exact"/>
              <w:jc w:val="left"/>
              <w:rPr>
                <w:b/>
                <w:bCs/>
                <w:color w:val="3D3D3D"/>
                <w:kern w:val="0"/>
                <w:sz w:val="15"/>
                <w:szCs w:val="15"/>
              </w:rPr>
            </w:pPr>
          </w:p>
          <w:p w:rsidR="00111C67" w:rsidRDefault="009D1C30">
            <w:pPr>
              <w:widowControl/>
              <w:spacing w:line="200" w:lineRule="exact"/>
              <w:jc w:val="left"/>
              <w:rPr>
                <w:b/>
                <w:bCs/>
                <w:color w:val="3D3D3D"/>
                <w:kern w:val="0"/>
                <w:sz w:val="15"/>
                <w:szCs w:val="15"/>
              </w:rPr>
            </w:pPr>
            <w:r>
              <w:rPr>
                <w:rFonts w:hint="eastAsia"/>
                <w:b/>
                <w:bCs/>
                <w:color w:val="3D3D3D"/>
                <w:kern w:val="0"/>
                <w:sz w:val="15"/>
                <w:szCs w:val="15"/>
              </w:rPr>
              <w:t>盖章（公章）</w:t>
            </w:r>
          </w:p>
          <w:p w:rsidR="00111C67" w:rsidRDefault="00111C67">
            <w:pPr>
              <w:widowControl/>
              <w:spacing w:line="200" w:lineRule="exact"/>
              <w:jc w:val="left"/>
              <w:rPr>
                <w:b/>
                <w:bCs/>
                <w:color w:val="3D3D3D"/>
                <w:kern w:val="0"/>
                <w:sz w:val="15"/>
                <w:szCs w:val="15"/>
              </w:rPr>
            </w:pPr>
          </w:p>
          <w:p w:rsidR="00111C67" w:rsidRDefault="009D1C3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11C67" w:rsidRDefault="00111C67">
            <w:pPr>
              <w:widowControl/>
              <w:spacing w:line="200" w:lineRule="exact"/>
              <w:jc w:val="left"/>
              <w:rPr>
                <w:color w:val="3D3D3D"/>
                <w:kern w:val="0"/>
                <w:sz w:val="13"/>
                <w:szCs w:val="13"/>
              </w:rPr>
            </w:pPr>
          </w:p>
          <w:p w:rsidR="00111C67" w:rsidRDefault="009D1C3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11C6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11C67">
        <w:tc>
          <w:tcPr>
            <w:tcW w:w="9287" w:type="dxa"/>
            <w:tcBorders>
              <w:top w:val="single" w:sz="4" w:space="0" w:color="auto"/>
              <w:left w:val="single" w:sz="4" w:space="0" w:color="auto"/>
              <w:bottom w:val="single" w:sz="4" w:space="0" w:color="auto"/>
              <w:right w:val="single" w:sz="4" w:space="0" w:color="auto"/>
              <w:tl2br w:val="nil"/>
              <w:tr2bl w:val="nil"/>
            </w:tcBorders>
          </w:tcPr>
          <w:p w:rsidR="00111C67" w:rsidRDefault="009D1C3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11C67" w:rsidRDefault="009D1C30" w:rsidP="008936A0">
      <w:pPr>
        <w:jc w:val="center"/>
        <w:rPr>
          <w:b/>
          <w:bCs/>
          <w:kern w:val="0"/>
          <w:sz w:val="24"/>
          <w:szCs w:val="24"/>
        </w:rPr>
      </w:pPr>
      <w:r>
        <w:br w:type="page"/>
      </w:r>
      <w:r>
        <w:rPr>
          <w:rFonts w:hint="eastAsia"/>
          <w:b/>
          <w:bCs/>
          <w:kern w:val="0"/>
          <w:sz w:val="24"/>
          <w:szCs w:val="24"/>
        </w:rPr>
        <w:lastRenderedPageBreak/>
        <w:t>理财产品说明书</w:t>
      </w:r>
    </w:p>
    <w:p w:rsidR="00111C67" w:rsidRDefault="009D1C30">
      <w:pPr>
        <w:pStyle w:val="Normalb60d18f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11C67" w:rsidRDefault="009D1C30">
      <w:pPr>
        <w:pStyle w:val="NormalWebac7fb84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11C6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南银理财珠联璧合增瑞明远两年定开</w:t>
            </w:r>
            <w:r>
              <w:rPr>
                <w:rFonts w:hint="eastAsia"/>
                <w:kern w:val="0"/>
                <w:sz w:val="18"/>
                <w:szCs w:val="18"/>
              </w:rPr>
              <w:t>2022</w:t>
            </w:r>
            <w:r>
              <w:rPr>
                <w:rFonts w:hint="eastAsia"/>
                <w:kern w:val="0"/>
                <w:sz w:val="18"/>
                <w:szCs w:val="18"/>
              </w:rPr>
              <w:t>第</w:t>
            </w:r>
            <w:r>
              <w:rPr>
                <w:rFonts w:hint="eastAsia"/>
                <w:kern w:val="0"/>
                <w:sz w:val="18"/>
                <w:szCs w:val="18"/>
              </w:rPr>
              <w:t>1</w:t>
            </w:r>
            <w:r>
              <w:rPr>
                <w:rFonts w:hint="eastAsia"/>
                <w:kern w:val="0"/>
                <w:sz w:val="18"/>
                <w:szCs w:val="18"/>
              </w:rPr>
              <w:t>期公募人民币理财产品</w:t>
            </w:r>
          </w:p>
        </w:tc>
      </w:tr>
      <w:tr w:rsidR="00111C6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11C67" w:rsidRDefault="009D1C3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11C67" w:rsidRDefault="009D1C30">
            <w:pPr>
              <w:widowControl/>
              <w:spacing w:line="200" w:lineRule="exact"/>
              <w:jc w:val="left"/>
              <w:rPr>
                <w:kern w:val="0"/>
                <w:sz w:val="18"/>
                <w:szCs w:val="18"/>
              </w:rPr>
            </w:pPr>
            <w:r>
              <w:rPr>
                <w:rFonts w:hint="eastAsia"/>
                <w:kern w:val="0"/>
                <w:sz w:val="18"/>
                <w:szCs w:val="18"/>
              </w:rPr>
              <w:t>定期开放式、固定收益类、公募、净值型</w:t>
            </w:r>
          </w:p>
        </w:tc>
      </w:tr>
      <w:tr w:rsidR="00111C6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11C67" w:rsidRDefault="009D1C3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11C67" w:rsidRDefault="009D1C30">
            <w:pPr>
              <w:widowControl/>
              <w:spacing w:line="200" w:lineRule="exact"/>
              <w:jc w:val="left"/>
              <w:rPr>
                <w:kern w:val="0"/>
                <w:sz w:val="18"/>
                <w:szCs w:val="18"/>
              </w:rPr>
            </w:pPr>
            <w:r>
              <w:rPr>
                <w:rFonts w:hint="eastAsia"/>
                <w:kern w:val="0"/>
                <w:sz w:val="18"/>
                <w:szCs w:val="18"/>
              </w:rPr>
              <w:t>公开募集</w:t>
            </w:r>
          </w:p>
        </w:tc>
      </w:tr>
      <w:tr w:rsidR="00111C6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ZZ700322201224</w:t>
            </w:r>
          </w:p>
        </w:tc>
      </w:tr>
      <w:tr w:rsidR="00111C6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cs="宋体" w:hint="eastAsia"/>
                <w:kern w:val="0"/>
                <w:sz w:val="18"/>
                <w:szCs w:val="18"/>
              </w:rPr>
              <w:t>Z7003222000046(</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11C6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widowControl/>
              <w:spacing w:line="200" w:lineRule="exact"/>
              <w:jc w:val="left"/>
              <w:textAlignment w:val="center"/>
              <w:rPr>
                <w:sz w:val="18"/>
                <w:szCs w:val="18"/>
              </w:rPr>
            </w:pPr>
            <w:r>
              <w:rPr>
                <w:rFonts w:hint="eastAsia"/>
                <w:kern w:val="0"/>
                <w:sz w:val="18"/>
                <w:szCs w:val="18"/>
              </w:rPr>
              <w:t>Z20012</w:t>
            </w:r>
          </w:p>
        </w:tc>
      </w:tr>
      <w:tr w:rsidR="00111C6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111C6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全国</w:t>
            </w:r>
          </w:p>
        </w:tc>
      </w:tr>
      <w:tr w:rsidR="00111C6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widowControl/>
              <w:spacing w:line="200" w:lineRule="exact"/>
              <w:jc w:val="left"/>
              <w:textAlignment w:val="center"/>
              <w:rPr>
                <w:kern w:val="0"/>
                <w:sz w:val="18"/>
                <w:szCs w:val="18"/>
              </w:rPr>
            </w:pPr>
            <w:r>
              <w:rPr>
                <w:rFonts w:hint="eastAsia"/>
                <w:kern w:val="0"/>
                <w:sz w:val="18"/>
                <w:szCs w:val="18"/>
              </w:rPr>
              <w:t>人民币</w:t>
            </w:r>
          </w:p>
        </w:tc>
      </w:tr>
      <w:tr w:rsidR="00111C6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产品规模上限为</w:t>
            </w:r>
            <w:r>
              <w:rPr>
                <w:rFonts w:cs="宋体"/>
                <w:sz w:val="18"/>
                <w:szCs w:val="18"/>
              </w:rPr>
              <w:t>500</w:t>
            </w:r>
            <w:r>
              <w:rPr>
                <w:rFonts w:cs="宋体"/>
                <w:sz w:val="18"/>
                <w:szCs w:val="18"/>
              </w:rPr>
              <w:t>亿元，无下限。理财产品管理人有权对上述规模上限根据实际业务需求进行调整。</w:t>
            </w:r>
          </w:p>
        </w:tc>
      </w:tr>
      <w:tr w:rsidR="00111C6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11C67" w:rsidRDefault="009D1C3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11C6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color w:val="000000"/>
                <w:sz w:val="18"/>
                <w:szCs w:val="18"/>
              </w:rPr>
              <w:t>符合相关法律法规、监管规定要求的，经销售机构的风险承受能力评估体系评定为适合的个人和机构投资者。</w:t>
            </w:r>
          </w:p>
        </w:tc>
      </w:tr>
      <w:tr w:rsidR="00111C6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11C67" w:rsidRDefault="009D1C3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11C67" w:rsidRDefault="009D1C30">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111C67" w:rsidRDefault="009D1C3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11C67" w:rsidRDefault="009D1C3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color w:val="000000"/>
                <w:sz w:val="18"/>
                <w:szCs w:val="18"/>
              </w:rPr>
              <w:t>2022</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29</w:t>
            </w:r>
            <w:r>
              <w:rPr>
                <w:rFonts w:cs="宋体"/>
                <w:color w:val="000000"/>
                <w:sz w:val="18"/>
                <w:szCs w:val="18"/>
              </w:rPr>
              <w:t>日</w:t>
            </w:r>
            <w:r>
              <w:rPr>
                <w:rFonts w:cs="宋体"/>
                <w:color w:val="000000"/>
                <w:sz w:val="18"/>
                <w:szCs w:val="18"/>
              </w:rPr>
              <w:t xml:space="preserve"> </w:t>
            </w:r>
            <w:r>
              <w:rPr>
                <w:rFonts w:cs="宋体"/>
                <w:color w:val="000000"/>
                <w:sz w:val="18"/>
                <w:szCs w:val="18"/>
              </w:rPr>
              <w:t>09:00—2022</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11C6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rPr>
                <w:color w:val="000000"/>
                <w:kern w:val="0"/>
                <w:sz w:val="18"/>
                <w:szCs w:val="18"/>
              </w:rPr>
            </w:pPr>
            <w:r>
              <w:rPr>
                <w:rFonts w:hint="eastAsia"/>
                <w:color w:val="000000"/>
                <w:kern w:val="0"/>
                <w:sz w:val="18"/>
                <w:szCs w:val="18"/>
              </w:rPr>
              <w:t>同产品成立日</w:t>
            </w:r>
          </w:p>
        </w:tc>
      </w:tr>
      <w:tr w:rsidR="00111C6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hint="eastAsia"/>
                <w:kern w:val="0"/>
                <w:sz w:val="18"/>
                <w:szCs w:val="18"/>
              </w:rPr>
              <w:t>2022</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06</w:t>
            </w:r>
            <w:r>
              <w:rPr>
                <w:rFonts w:hint="eastAsia"/>
                <w:kern w:val="0"/>
                <w:sz w:val="18"/>
                <w:szCs w:val="18"/>
              </w:rPr>
              <w:t>日</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2022</w:t>
            </w:r>
            <w:r>
              <w:rPr>
                <w:rFonts w:cs="宋体"/>
                <w:sz w:val="18"/>
                <w:szCs w:val="18"/>
              </w:rPr>
              <w:t>年</w:t>
            </w:r>
            <w:r>
              <w:rPr>
                <w:rFonts w:cs="宋体"/>
                <w:sz w:val="18"/>
                <w:szCs w:val="18"/>
              </w:rPr>
              <w:t>07</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111C6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2032</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111C6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lastRenderedPageBreak/>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本理财产品存续期内按每两年开放申购，如遇节假日调整，申购开放日和申购确认日以公告为准。</w:t>
            </w:r>
          </w:p>
        </w:tc>
      </w:tr>
      <w:tr w:rsidR="00111C67">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本理财产品存续期内按每两年开放赎回，如遇节假日调整，赎回开放日和赎回确认日以公告为准，投资者可提交赎回申请，系统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111C6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11C67" w:rsidRDefault="009D1C30">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tc>
      </w:tr>
      <w:tr w:rsidR="00111C67">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111C6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111C6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111C67" w:rsidRDefault="009D1C30">
            <w:pPr>
              <w:spacing w:line="200" w:lineRule="exact"/>
            </w:pPr>
            <w:r>
              <w:rPr>
                <w:rFonts w:cs="宋体"/>
                <w:sz w:val="18"/>
                <w:szCs w:val="18"/>
              </w:rPr>
              <w:t>产品到期后，理财产品管理人和代销机构将根据理财资金所投资资产实际运作情况向投资者分配到期款项。</w:t>
            </w:r>
          </w:p>
        </w:tc>
      </w:tr>
      <w:tr w:rsidR="00111C6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111C67" w:rsidRDefault="009D1C30">
            <w:pPr>
              <w:spacing w:line="200" w:lineRule="exact"/>
              <w:jc w:val="left"/>
            </w:pPr>
            <w:r>
              <w:rPr>
                <w:rFonts w:cs="宋体"/>
                <w:sz w:val="18"/>
                <w:szCs w:val="18"/>
              </w:rPr>
              <w:t>分红权益登记日指管理人确认投资者所持份额是否享受本次分红的日期。</w:t>
            </w:r>
          </w:p>
        </w:tc>
      </w:tr>
      <w:tr w:rsidR="00111C6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sz w:val="18"/>
                <w:szCs w:val="18"/>
              </w:rPr>
              <w:t>本理财产品募集的资金投资于以下金融资产和金融工具，包括但不限于：</w:t>
            </w:r>
          </w:p>
          <w:p w:rsidR="00111C67" w:rsidRDefault="009D1C3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11C67" w:rsidRDefault="009D1C3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11C67" w:rsidRDefault="009D1C3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111C67" w:rsidRDefault="009D1C30">
            <w:pPr>
              <w:spacing w:line="200" w:lineRule="exact"/>
              <w:jc w:val="left"/>
            </w:pPr>
            <w:r>
              <w:rPr>
                <w:rFonts w:cs="宋体"/>
                <w:sz w:val="18"/>
                <w:szCs w:val="18"/>
              </w:rPr>
              <w:t>4.</w:t>
            </w:r>
            <w:r>
              <w:rPr>
                <w:rFonts w:cs="宋体"/>
                <w:sz w:val="18"/>
                <w:szCs w:val="18"/>
              </w:rPr>
              <w:t>股票、公募混合型或股票型证券投资基金等权益</w:t>
            </w:r>
            <w:r>
              <w:rPr>
                <w:rFonts w:cs="宋体"/>
                <w:sz w:val="18"/>
                <w:szCs w:val="18"/>
              </w:rPr>
              <w:t>类资产；</w:t>
            </w:r>
          </w:p>
          <w:p w:rsidR="00111C67" w:rsidRDefault="009D1C30">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111C67" w:rsidRDefault="009D1C30">
            <w:pPr>
              <w:spacing w:line="200" w:lineRule="exact"/>
              <w:jc w:val="left"/>
            </w:pPr>
            <w:r>
              <w:rPr>
                <w:rFonts w:cs="宋体"/>
                <w:sz w:val="18"/>
                <w:szCs w:val="18"/>
              </w:rPr>
              <w:t>6.</w:t>
            </w:r>
            <w:r>
              <w:rPr>
                <w:rFonts w:cs="宋体"/>
                <w:sz w:val="18"/>
                <w:szCs w:val="18"/>
              </w:rPr>
              <w:t>投资范围为上述资产的信托计划、资产管理计划等资产管理产品；</w:t>
            </w:r>
          </w:p>
          <w:p w:rsidR="00111C67" w:rsidRDefault="009D1C30">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111C67" w:rsidRDefault="009D1C30">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11C6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投资于权益类资产的比例低于</w:t>
            </w:r>
            <w:r>
              <w:rPr>
                <w:rFonts w:cs="宋体"/>
                <w:sz w:val="18"/>
                <w:szCs w:val="18"/>
              </w:rPr>
              <w:t>20%</w:t>
            </w:r>
            <w:r>
              <w:rPr>
                <w:rFonts w:cs="宋体"/>
                <w:sz w:val="18"/>
                <w:szCs w:val="18"/>
              </w:rPr>
              <w:t>。</w:t>
            </w:r>
          </w:p>
          <w:p w:rsidR="00111C67" w:rsidRDefault="009D1C3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11C6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本理财产品通过对宏观经济、政策环境、市场状况和资金供求的深入分析，对各类资产行业和品种的深入分析，自上而下进行积极主动的资产配置，构建合理的投资组合方案，控制回撤幅度，追求稳健的投资回报。</w:t>
            </w:r>
          </w:p>
        </w:tc>
      </w:tr>
      <w:tr w:rsidR="00111C6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11C67" w:rsidRDefault="009D1C30">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111C67" w:rsidRDefault="009D1C30">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111C67" w:rsidRDefault="009D1C30">
            <w:pPr>
              <w:spacing w:line="200" w:lineRule="exact"/>
            </w:pPr>
            <w:r>
              <w:rPr>
                <w:rFonts w:cs="宋体"/>
                <w:sz w:val="18"/>
                <w:szCs w:val="18"/>
              </w:rPr>
              <w:t>3.</w:t>
            </w:r>
            <w:r>
              <w:rPr>
                <w:rFonts w:cs="宋体"/>
                <w:sz w:val="18"/>
                <w:szCs w:val="18"/>
              </w:rPr>
              <w:t>信托贷款：资产类型为信托公司设立的固定收益类信托计划，底层资产为</w:t>
            </w:r>
            <w:r>
              <w:rPr>
                <w:rFonts w:cs="宋体"/>
                <w:sz w:val="18"/>
                <w:szCs w:val="18"/>
              </w:rPr>
              <w:t>向融资人诸暨市交通基础设施建设有限公司发放信托贷款，融资人评级为</w:t>
            </w:r>
            <w:r>
              <w:rPr>
                <w:rFonts w:cs="宋体"/>
                <w:sz w:val="18"/>
                <w:szCs w:val="18"/>
              </w:rPr>
              <w:t>AA</w:t>
            </w:r>
            <w:r>
              <w:rPr>
                <w:rFonts w:cs="宋体"/>
                <w:sz w:val="18"/>
                <w:szCs w:val="18"/>
              </w:rPr>
              <w:t>（评级机构为上海新世纪资信评估投资服务有限公司）。</w:t>
            </w:r>
          </w:p>
          <w:p w:rsidR="00111C67" w:rsidRDefault="009D1C30">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111C67" w:rsidRDefault="009D1C30">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w:t>
            </w:r>
            <w:r>
              <w:rPr>
                <w:rFonts w:cs="宋体"/>
                <w:sz w:val="18"/>
                <w:szCs w:val="18"/>
              </w:rPr>
              <w:lastRenderedPageBreak/>
              <w:t>人评级为</w:t>
            </w:r>
            <w:r>
              <w:rPr>
                <w:rFonts w:cs="宋体"/>
                <w:sz w:val="18"/>
                <w:szCs w:val="18"/>
              </w:rPr>
              <w:t>AA</w:t>
            </w:r>
            <w:r>
              <w:rPr>
                <w:rFonts w:cs="宋体"/>
                <w:sz w:val="18"/>
                <w:szCs w:val="18"/>
              </w:rPr>
              <w:t>（评级机构为中诚信国际信用评级有限责任公司）。</w:t>
            </w:r>
          </w:p>
          <w:p w:rsidR="00111C67" w:rsidRDefault="009D1C30">
            <w:pPr>
              <w:spacing w:line="200" w:lineRule="exact"/>
            </w:pPr>
            <w:r>
              <w:rPr>
                <w:rFonts w:cs="宋体"/>
                <w:sz w:val="18"/>
                <w:szCs w:val="18"/>
              </w:rPr>
              <w:t>6.</w:t>
            </w:r>
            <w:r>
              <w:rPr>
                <w:rFonts w:cs="宋体"/>
                <w:sz w:val="18"/>
                <w:szCs w:val="18"/>
              </w:rPr>
              <w:t>信托贷款：资产类型为信托公司设立的固定收益类信托计划，底层资产</w:t>
            </w:r>
            <w:r>
              <w:rPr>
                <w:rFonts w:cs="宋体"/>
                <w:sz w:val="18"/>
                <w:szCs w:val="18"/>
              </w:rPr>
              <w:t>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111C67" w:rsidRDefault="009D1C30">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111C67" w:rsidRDefault="009D1C30">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111C67" w:rsidRDefault="009D1C30">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111C67" w:rsidRDefault="009D1C30">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111C67" w:rsidRDefault="009D1C30">
            <w:pPr>
              <w:spacing w:line="200" w:lineRule="exact"/>
            </w:pPr>
            <w:r>
              <w:rPr>
                <w:rFonts w:cs="宋体"/>
                <w:sz w:val="18"/>
                <w:szCs w:val="18"/>
              </w:rPr>
              <w:t>11.</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111C67" w:rsidRDefault="009D1C30">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111C67" w:rsidRDefault="009D1C30">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111C67" w:rsidRDefault="009D1C30">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111C67" w:rsidRDefault="009D1C30">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p>
          <w:p w:rsidR="00111C67" w:rsidRDefault="009D1C30">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r>
              <w:rPr>
                <w:rFonts w:cs="宋体"/>
                <w:sz w:val="18"/>
                <w:szCs w:val="18"/>
              </w:rPr>
              <w:t xml:space="preserve">×90% + </w:t>
            </w:r>
            <w:r>
              <w:rPr>
                <w:rFonts w:cs="宋体"/>
                <w:sz w:val="18"/>
                <w:szCs w:val="18"/>
              </w:rPr>
              <w:t>中证</w:t>
            </w:r>
            <w:r>
              <w:rPr>
                <w:rFonts w:cs="宋体"/>
                <w:sz w:val="18"/>
                <w:szCs w:val="18"/>
              </w:rPr>
              <w:t>800</w:t>
            </w:r>
            <w:r>
              <w:rPr>
                <w:rFonts w:cs="宋体"/>
                <w:sz w:val="18"/>
                <w:szCs w:val="18"/>
              </w:rPr>
              <w:t>指数收益率</w:t>
            </w:r>
            <w:r>
              <w:rPr>
                <w:rFonts w:cs="宋体"/>
                <w:sz w:val="18"/>
                <w:szCs w:val="18"/>
              </w:rPr>
              <w:t>×10%</w:t>
            </w:r>
            <w:r>
              <w:rPr>
                <w:rFonts w:cs="宋体"/>
                <w:sz w:val="18"/>
                <w:szCs w:val="18"/>
              </w:rPr>
              <w:t>。</w:t>
            </w:r>
          </w:p>
          <w:p w:rsidR="00111C67" w:rsidRDefault="009D1C30">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投资于权益类资产的比例低于</w:t>
            </w:r>
            <w:r>
              <w:rPr>
                <w:rFonts w:cs="宋体"/>
                <w:sz w:val="18"/>
                <w:szCs w:val="18"/>
              </w:rPr>
              <w:t>20%</w:t>
            </w:r>
            <w:r>
              <w:rPr>
                <w:rFonts w:cs="宋体"/>
                <w:sz w:val="18"/>
                <w:szCs w:val="18"/>
              </w:rPr>
              <w:t>。结合债券市场、拟投资的非标准化债权类资产、权益市场的收益和波动水平，在本理财产品约定的投资策略基础上，管理人设定了本理财产品投资周期内业绩比较基准为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w:t>
            </w:r>
            <w:r>
              <w:rPr>
                <w:rFonts w:cs="宋体"/>
                <w:sz w:val="18"/>
                <w:szCs w:val="18"/>
              </w:rPr>
              <w:t>收益率</w:t>
            </w:r>
            <w:r>
              <w:rPr>
                <w:rFonts w:cs="宋体"/>
                <w:sz w:val="18"/>
                <w:szCs w:val="18"/>
              </w:rPr>
              <w:t>×90%+</w:t>
            </w:r>
            <w:r>
              <w:rPr>
                <w:rFonts w:cs="宋体"/>
                <w:sz w:val="18"/>
                <w:szCs w:val="18"/>
              </w:rPr>
              <w:t>中证</w:t>
            </w:r>
            <w:r>
              <w:rPr>
                <w:rFonts w:cs="宋体"/>
                <w:sz w:val="18"/>
                <w:szCs w:val="18"/>
              </w:rPr>
              <w:t>800</w:t>
            </w:r>
            <w:r>
              <w:rPr>
                <w:rFonts w:cs="宋体"/>
                <w:sz w:val="18"/>
                <w:szCs w:val="18"/>
              </w:rPr>
              <w:t>指数收益率</w:t>
            </w:r>
            <w:r>
              <w:rPr>
                <w:rFonts w:cs="宋体"/>
                <w:sz w:val="18"/>
                <w:szCs w:val="18"/>
              </w:rPr>
              <w:t>×10%</w:t>
            </w:r>
            <w:r>
              <w:rPr>
                <w:rFonts w:cs="宋体"/>
                <w:sz w:val="18"/>
                <w:szCs w:val="18"/>
              </w:rPr>
              <w:t>。</w:t>
            </w:r>
          </w:p>
          <w:p w:rsidR="00111C67" w:rsidRDefault="009D1C30">
            <w:pPr>
              <w:spacing w:line="200" w:lineRule="exact"/>
            </w:pPr>
            <w:r>
              <w:rPr>
                <w:rFonts w:cs="宋体"/>
                <w:sz w:val="18"/>
                <w:szCs w:val="18"/>
              </w:rPr>
              <w:t>注：</w:t>
            </w:r>
            <w:r>
              <w:br/>
            </w: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年）指数为中央国债登记结算有限责任公司发布的债券指数，投资者可登陆中国债券信息网查询；中证</w:t>
            </w:r>
            <w:r>
              <w:rPr>
                <w:rFonts w:cs="宋体"/>
                <w:sz w:val="18"/>
                <w:szCs w:val="18"/>
              </w:rPr>
              <w:t>800</w:t>
            </w:r>
            <w:r>
              <w:rPr>
                <w:rFonts w:cs="宋体"/>
                <w:sz w:val="18"/>
                <w:szCs w:val="18"/>
              </w:rPr>
              <w:t>指数为中证指数有限公司发布的股票指数，投资者可登陆中证指数</w:t>
            </w:r>
            <w:proofErr w:type="gramStart"/>
            <w:r>
              <w:rPr>
                <w:rFonts w:cs="宋体"/>
                <w:sz w:val="18"/>
                <w:szCs w:val="18"/>
              </w:rPr>
              <w:t>有限公司官网查询</w:t>
            </w:r>
            <w:proofErr w:type="gramEnd"/>
            <w:r>
              <w:rPr>
                <w:rFonts w:cs="宋体"/>
                <w:sz w:val="18"/>
                <w:szCs w:val="18"/>
              </w:rPr>
              <w:t>。</w:t>
            </w:r>
            <w:r>
              <w:br/>
            </w: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r>
              <w:br/>
            </w:r>
            <w:r>
              <w:rPr>
                <w:rFonts w:cs="宋体"/>
                <w:sz w:val="18"/>
                <w:szCs w:val="18"/>
              </w:rPr>
              <w:t>3.</w:t>
            </w:r>
            <w:r>
              <w:rPr>
                <w:rFonts w:cs="宋体"/>
                <w:sz w:val="18"/>
                <w:szCs w:val="18"/>
              </w:rPr>
              <w:t>管理人将在本理财产品定期报告中对以上业绩比较基准进行跟踪和披露。</w:t>
            </w:r>
            <w:r>
              <w:br/>
            </w:r>
            <w:r>
              <w:rPr>
                <w:rFonts w:cs="宋体"/>
                <w:sz w:val="18"/>
                <w:szCs w:val="18"/>
              </w:rPr>
              <w:t>4.</w:t>
            </w:r>
            <w:r>
              <w:rPr>
                <w:rFonts w:cs="宋体"/>
                <w:sz w:val="18"/>
                <w:szCs w:val="18"/>
              </w:rPr>
              <w:t>管理人可根据市场情况对业绩比较基准进行适当调整</w:t>
            </w:r>
            <w:r>
              <w:rPr>
                <w:rFonts w:cs="宋体"/>
                <w:sz w:val="18"/>
                <w:szCs w:val="18"/>
              </w:rPr>
              <w:t>，如有调整，将至少于调整前</w:t>
            </w:r>
            <w:r>
              <w:rPr>
                <w:rFonts w:cs="宋体"/>
                <w:sz w:val="18"/>
                <w:szCs w:val="18"/>
              </w:rPr>
              <w:t>3</w:t>
            </w:r>
            <w:r>
              <w:rPr>
                <w:rFonts w:cs="宋体"/>
                <w:sz w:val="18"/>
                <w:szCs w:val="18"/>
              </w:rPr>
              <w:t>个工作日公布调整方案。</w:t>
            </w:r>
          </w:p>
          <w:p w:rsidR="00111C67" w:rsidRDefault="009D1C3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r>
              <w:br/>
            </w:r>
            <w:r>
              <w:rPr>
                <w:rFonts w:cs="宋体"/>
                <w:b/>
                <w:sz w:val="18"/>
                <w:szCs w:val="18"/>
              </w:rPr>
              <w:t>赎回费：本理财产品暂不收取赎回费。</w:t>
            </w:r>
            <w:r>
              <w:br/>
            </w: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r>
              <w:br/>
            </w: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r>
              <w:br/>
            </w: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r>
              <w:br/>
            </w: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r>
              <w:br/>
            </w: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r>
              <w:br/>
            </w: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r>
              <w:br/>
            </w:r>
            <w:r>
              <w:rPr>
                <w:rFonts w:cs="宋体"/>
                <w:b/>
                <w:sz w:val="18"/>
                <w:szCs w:val="18"/>
              </w:rPr>
              <w:lastRenderedPageBreak/>
              <w:t>业绩报酬：如投资者赎回或产品到期时对应份额的持有</w:t>
            </w:r>
            <w:proofErr w:type="gramStart"/>
            <w:r>
              <w:rPr>
                <w:rFonts w:cs="宋体"/>
                <w:b/>
                <w:sz w:val="18"/>
                <w:szCs w:val="18"/>
              </w:rPr>
              <w:t>期间年化收益率超过年化</w:t>
            </w:r>
            <w:proofErr w:type="gramEnd"/>
            <w:r>
              <w:rPr>
                <w:rFonts w:cs="宋体"/>
                <w:b/>
                <w:sz w:val="18"/>
                <w:szCs w:val="18"/>
              </w:rPr>
              <w:t>4%</w:t>
            </w:r>
            <w:r>
              <w:rPr>
                <w:rFonts w:cs="宋体"/>
                <w:b/>
                <w:sz w:val="18"/>
                <w:szCs w:val="18"/>
              </w:rPr>
              <w:t>时，管理人将收取超过部分</w:t>
            </w:r>
            <w:r>
              <w:rPr>
                <w:rFonts w:cs="宋体"/>
                <w:b/>
                <w:sz w:val="18"/>
                <w:szCs w:val="18"/>
              </w:rPr>
              <w:t>30%</w:t>
            </w:r>
            <w:r>
              <w:rPr>
                <w:rFonts w:cs="宋体"/>
                <w:b/>
                <w:sz w:val="18"/>
                <w:szCs w:val="18"/>
              </w:rPr>
              <w:t>的业绩报酬。管理人有权在产品收益分配（如有）时对所有持有本理财产品份额的客户收取业绩报酬（如有）。</w:t>
            </w:r>
            <w:r>
              <w:br/>
            </w:r>
            <w:r>
              <w:rPr>
                <w:rFonts w:cs="宋体"/>
                <w:b/>
                <w:sz w:val="18"/>
                <w:szCs w:val="18"/>
              </w:rPr>
              <w:t>注：投资者份额持有</w:t>
            </w:r>
            <w:proofErr w:type="gramStart"/>
            <w:r>
              <w:rPr>
                <w:rFonts w:cs="宋体"/>
                <w:b/>
                <w:sz w:val="18"/>
                <w:szCs w:val="18"/>
              </w:rPr>
              <w:t>期间年化收益率</w:t>
            </w:r>
            <w:proofErr w:type="gramEnd"/>
            <w:r>
              <w:rPr>
                <w:rFonts w:cs="宋体"/>
                <w:b/>
                <w:sz w:val="18"/>
                <w:szCs w:val="18"/>
              </w:rPr>
              <w:t>=</w:t>
            </w:r>
            <w:r>
              <w:rPr>
                <w:rFonts w:cs="宋体"/>
                <w:b/>
                <w:sz w:val="18"/>
                <w:szCs w:val="18"/>
              </w:rPr>
              <w:t>（赎回确认日产品累计净值或实际到期日前</w:t>
            </w:r>
            <w:proofErr w:type="gramStart"/>
            <w:r>
              <w:rPr>
                <w:rFonts w:cs="宋体"/>
                <w:b/>
                <w:sz w:val="18"/>
                <w:szCs w:val="18"/>
              </w:rPr>
              <w:t>一</w:t>
            </w:r>
            <w:proofErr w:type="gramEnd"/>
            <w:r>
              <w:rPr>
                <w:rFonts w:cs="宋体"/>
                <w:b/>
                <w:sz w:val="18"/>
                <w:szCs w:val="18"/>
              </w:rPr>
              <w:t>产品开放日产品累计净值</w:t>
            </w:r>
            <w:r>
              <w:rPr>
                <w:rFonts w:cs="宋体"/>
                <w:b/>
                <w:sz w:val="18"/>
                <w:szCs w:val="18"/>
              </w:rPr>
              <w:t>-</w:t>
            </w:r>
            <w:r>
              <w:rPr>
                <w:rFonts w:cs="宋体"/>
                <w:b/>
                <w:sz w:val="18"/>
                <w:szCs w:val="18"/>
              </w:rPr>
              <w:t>申购确认日产品</w:t>
            </w:r>
            <w:r>
              <w:rPr>
                <w:rFonts w:cs="宋体"/>
                <w:b/>
                <w:sz w:val="18"/>
                <w:szCs w:val="18"/>
              </w:rPr>
              <w:t>累计净值）</w:t>
            </w:r>
            <w:r>
              <w:rPr>
                <w:rFonts w:cs="宋体"/>
                <w:b/>
                <w:sz w:val="18"/>
                <w:szCs w:val="18"/>
              </w:rPr>
              <w:t>÷</w:t>
            </w:r>
            <w:r>
              <w:rPr>
                <w:rFonts w:cs="宋体"/>
                <w:b/>
                <w:sz w:val="18"/>
                <w:szCs w:val="18"/>
              </w:rPr>
              <w:t>申购确认日产</w:t>
            </w:r>
            <w:proofErr w:type="gramStart"/>
            <w:r>
              <w:rPr>
                <w:rFonts w:cs="宋体"/>
                <w:b/>
                <w:sz w:val="18"/>
                <w:szCs w:val="18"/>
              </w:rPr>
              <w:t>品单位</w:t>
            </w:r>
            <w:proofErr w:type="gramEnd"/>
            <w:r>
              <w:rPr>
                <w:rFonts w:cs="宋体"/>
                <w:b/>
                <w:sz w:val="18"/>
                <w:szCs w:val="18"/>
              </w:rPr>
              <w:t>净值</w:t>
            </w:r>
            <w:r>
              <w:rPr>
                <w:rFonts w:cs="宋体"/>
                <w:b/>
                <w:sz w:val="18"/>
                <w:szCs w:val="18"/>
              </w:rPr>
              <w:t>÷</w:t>
            </w:r>
            <w:r>
              <w:rPr>
                <w:rFonts w:cs="宋体"/>
                <w:b/>
                <w:sz w:val="18"/>
                <w:szCs w:val="18"/>
              </w:rPr>
              <w:t>投资者份额实际持有天数</w:t>
            </w:r>
            <w:r>
              <w:rPr>
                <w:rFonts w:cs="宋体"/>
                <w:b/>
                <w:sz w:val="18"/>
                <w:szCs w:val="18"/>
              </w:rPr>
              <w:t>×365</w:t>
            </w:r>
            <w:r>
              <w:rPr>
                <w:rFonts w:cs="宋体"/>
                <w:b/>
                <w:sz w:val="18"/>
                <w:szCs w:val="18"/>
              </w:rPr>
              <w:t>天。投资者份额实际持有天数为份额运作起始日（含）至份额运作终止日（不含）之间的天数。</w:t>
            </w:r>
            <w:r>
              <w:br/>
            </w: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111C6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color w:val="000000"/>
                <w:sz w:val="18"/>
                <w:szCs w:val="18"/>
              </w:rPr>
              <w:t>具体参见本理财产品风险揭示书。</w:t>
            </w:r>
          </w:p>
          <w:p w:rsidR="00111C67" w:rsidRDefault="009D1C30">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111C67" w:rsidRDefault="009D1C30">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111C67" w:rsidRDefault="009D1C30">
            <w:pPr>
              <w:spacing w:line="200" w:lineRule="exact"/>
              <w:jc w:val="left"/>
            </w:pPr>
            <w:r>
              <w:rPr>
                <w:rFonts w:cs="宋体"/>
                <w:color w:val="000000"/>
                <w:sz w:val="18"/>
                <w:szCs w:val="18"/>
              </w:rPr>
              <w:t>二是为应对投资者的赎回，被迫以不适当的价格卖出债券或赎回基金；</w:t>
            </w:r>
          </w:p>
          <w:p w:rsidR="00111C67" w:rsidRDefault="009D1C30">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111C67" w:rsidRDefault="009D1C30">
            <w:pPr>
              <w:spacing w:line="200" w:lineRule="exact"/>
              <w:jc w:val="left"/>
            </w:pPr>
            <w:r>
              <w:rPr>
                <w:rFonts w:cs="宋体"/>
                <w:color w:val="000000"/>
                <w:sz w:val="18"/>
                <w:szCs w:val="18"/>
              </w:rPr>
              <w:t>以上情形均可能使产品净值受到不利影响。</w:t>
            </w:r>
          </w:p>
        </w:tc>
      </w:tr>
      <w:tr w:rsidR="00111C6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11C67" w:rsidRDefault="009D1C3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11C67" w:rsidRDefault="009D1C3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11C67" w:rsidRDefault="009D1C30">
            <w:pPr>
              <w:spacing w:line="200" w:lineRule="exact"/>
              <w:jc w:val="left"/>
            </w:pPr>
            <w:r>
              <w:rPr>
                <w:rFonts w:cs="宋体"/>
                <w:color w:val="000000"/>
                <w:sz w:val="18"/>
                <w:szCs w:val="18"/>
              </w:rPr>
              <w:t>3</w:t>
            </w:r>
            <w:r>
              <w:rPr>
                <w:rFonts w:cs="宋体"/>
                <w:color w:val="000000"/>
                <w:sz w:val="18"/>
                <w:szCs w:val="18"/>
              </w:rPr>
              <w:t>.</w:t>
            </w:r>
            <w:r>
              <w:rPr>
                <w:rFonts w:cs="宋体"/>
                <w:color w:val="000000"/>
                <w:sz w:val="18"/>
                <w:szCs w:val="18"/>
              </w:rPr>
              <w:t>按照法律法规、监管规定及与投资者约定的信息披露渠道及时披露理财产品相关信息；</w:t>
            </w:r>
          </w:p>
          <w:p w:rsidR="00111C67" w:rsidRDefault="009D1C3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111C67" w:rsidRDefault="009D1C3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11C67" w:rsidRDefault="009D1C3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11C67" w:rsidRDefault="009D1C3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111C67" w:rsidRDefault="009D1C30">
            <w:pPr>
              <w:spacing w:line="200" w:lineRule="exact"/>
              <w:jc w:val="left"/>
            </w:pPr>
            <w:r>
              <w:rPr>
                <w:rFonts w:cs="宋体"/>
                <w:sz w:val="18"/>
                <w:szCs w:val="18"/>
              </w:rPr>
              <w:t>销售机构主要职责如下：</w:t>
            </w:r>
          </w:p>
          <w:p w:rsidR="00111C67" w:rsidRDefault="009D1C3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11C67" w:rsidRDefault="009D1C3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111C67" w:rsidRDefault="009D1C3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11C67" w:rsidRDefault="009D1C3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11C67" w:rsidRDefault="009D1C30">
            <w:pPr>
              <w:spacing w:line="200" w:lineRule="exact"/>
              <w:jc w:val="left"/>
            </w:pPr>
            <w:r>
              <w:rPr>
                <w:rFonts w:cs="宋体"/>
                <w:sz w:val="18"/>
                <w:szCs w:val="18"/>
              </w:rPr>
              <w:t>5.</w:t>
            </w:r>
            <w:r>
              <w:rPr>
                <w:rFonts w:cs="宋体"/>
                <w:sz w:val="18"/>
                <w:szCs w:val="18"/>
              </w:rPr>
              <w:t>建立健全</w:t>
            </w:r>
            <w:r>
              <w:rPr>
                <w:rFonts w:cs="宋体"/>
                <w:sz w:val="18"/>
                <w:szCs w:val="18"/>
              </w:rPr>
              <w:t>投资者权益保护管理体系，加强投资者适当性管理；</w:t>
            </w:r>
          </w:p>
          <w:p w:rsidR="00111C67" w:rsidRDefault="009D1C3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11C6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本理财产品托管人为南京银行股份有限公司，主要职责如下：</w:t>
            </w:r>
          </w:p>
          <w:p w:rsidR="00111C67" w:rsidRDefault="009D1C30">
            <w:pPr>
              <w:spacing w:line="200" w:lineRule="exact"/>
            </w:pPr>
            <w:r>
              <w:rPr>
                <w:rFonts w:cs="宋体"/>
                <w:sz w:val="18"/>
                <w:szCs w:val="18"/>
              </w:rPr>
              <w:t>1.</w:t>
            </w:r>
            <w:r>
              <w:rPr>
                <w:rFonts w:cs="宋体"/>
                <w:sz w:val="18"/>
                <w:szCs w:val="18"/>
              </w:rPr>
              <w:t>安全保管理财产品财产；</w:t>
            </w:r>
          </w:p>
          <w:p w:rsidR="00111C67" w:rsidRDefault="009D1C3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11C67" w:rsidRDefault="009D1C30">
            <w:pPr>
              <w:spacing w:line="200" w:lineRule="exact"/>
            </w:pPr>
            <w:r>
              <w:rPr>
                <w:rFonts w:cs="宋体"/>
                <w:sz w:val="18"/>
                <w:szCs w:val="18"/>
              </w:rPr>
              <w:t>3.</w:t>
            </w:r>
            <w:r>
              <w:rPr>
                <w:rFonts w:cs="宋体"/>
                <w:sz w:val="18"/>
                <w:szCs w:val="18"/>
              </w:rPr>
              <w:t>按照托管协议约定和管理人的投资指令，及时办理清算、交割事宜；</w:t>
            </w:r>
          </w:p>
          <w:p w:rsidR="00111C67" w:rsidRDefault="009D1C3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11C67" w:rsidRDefault="009D1C3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111C67" w:rsidRDefault="009D1C3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11C67" w:rsidRDefault="009D1C30">
            <w:pPr>
              <w:spacing w:line="200" w:lineRule="exact"/>
            </w:pPr>
            <w:r>
              <w:rPr>
                <w:rFonts w:cs="宋体"/>
                <w:sz w:val="18"/>
                <w:szCs w:val="18"/>
              </w:rPr>
              <w:lastRenderedPageBreak/>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111C67" w:rsidRDefault="009D1C3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111C67" w:rsidRDefault="009D1C3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11C6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本理财产品合作机构为华夏基金管理有限公司、景顺长城基金管理有限公司、南方基金管理股份有限公司、万家基金管理有限公司、易方达基金管理有限公司、招商基金管理有限公司，上述投资合作机构主要职责对应如下，具体职责以管理人与投资合作机构签署的合同为准。</w:t>
            </w:r>
          </w:p>
          <w:p w:rsidR="00111C67" w:rsidRDefault="009D1C30">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合作机构为理财产品所投资资产管理产品的发行机构，主要承担资产管理产品的管理人职责：华夏基金管理有限公司。</w:t>
            </w:r>
          </w:p>
          <w:p w:rsidR="00111C67" w:rsidRDefault="009D1C3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合作机构为从事理财产品受托投资的机构，主要承担根据合同约定进行受托资金的投资管理的职责：华夏基金管理有限公司、景顺长城基金管理有限公司、南方基金管理股份有</w:t>
            </w:r>
            <w:r>
              <w:rPr>
                <w:rFonts w:cs="宋体"/>
                <w:sz w:val="18"/>
                <w:szCs w:val="18"/>
              </w:rPr>
              <w:t>限公司、万家基金管理有限公司、易方达基金管理有限公司、招商基金管理有限公司。</w:t>
            </w:r>
          </w:p>
          <w:p w:rsidR="00111C67" w:rsidRDefault="009D1C30">
            <w:pPr>
              <w:spacing w:line="200" w:lineRule="exact"/>
            </w:pPr>
            <w:r>
              <w:rPr>
                <w:rFonts w:cs="宋体"/>
                <w:sz w:val="18"/>
                <w:szCs w:val="18"/>
              </w:rPr>
              <w:t>若上述合作机构及其职责发生调整，管理人将在本理财产品的定期报告中进行信息披露。</w:t>
            </w:r>
          </w:p>
          <w:p w:rsidR="00111C67" w:rsidRDefault="009D1C30">
            <w:pPr>
              <w:spacing w:line="200" w:lineRule="exact"/>
            </w:pPr>
            <w:r>
              <w:rPr>
                <w:rFonts w:cs="宋体"/>
                <w:sz w:val="18"/>
                <w:szCs w:val="18"/>
              </w:rPr>
              <w:t>上述投资合作机构简介：</w:t>
            </w:r>
          </w:p>
          <w:p w:rsidR="00111C67" w:rsidRDefault="009D1C30">
            <w:pPr>
              <w:spacing w:line="200" w:lineRule="exact"/>
            </w:pPr>
            <w:r>
              <w:rPr>
                <w:rFonts w:cs="宋体"/>
                <w:sz w:val="18"/>
                <w:szCs w:val="18"/>
              </w:rPr>
              <w:t>华夏基金管理有限公司成立于</w:t>
            </w:r>
            <w:r>
              <w:rPr>
                <w:rFonts w:cs="宋体"/>
                <w:sz w:val="18"/>
                <w:szCs w:val="18"/>
              </w:rPr>
              <w:t>1998</w:t>
            </w:r>
            <w:r>
              <w:rPr>
                <w:rFonts w:cs="宋体"/>
                <w:sz w:val="18"/>
                <w:szCs w:val="18"/>
              </w:rPr>
              <w:t>年</w:t>
            </w:r>
            <w:r>
              <w:rPr>
                <w:rFonts w:cs="宋体"/>
                <w:sz w:val="18"/>
                <w:szCs w:val="18"/>
              </w:rPr>
              <w:t>04</w:t>
            </w:r>
            <w:r>
              <w:rPr>
                <w:rFonts w:cs="宋体"/>
                <w:sz w:val="18"/>
                <w:szCs w:val="18"/>
              </w:rPr>
              <w:t>月</w:t>
            </w:r>
            <w:r>
              <w:rPr>
                <w:rFonts w:cs="宋体"/>
                <w:sz w:val="18"/>
                <w:szCs w:val="18"/>
              </w:rPr>
              <w:t>09</w:t>
            </w:r>
            <w:r>
              <w:rPr>
                <w:rFonts w:cs="宋体"/>
                <w:sz w:val="18"/>
                <w:szCs w:val="18"/>
              </w:rPr>
              <w:t>日，注册资本金</w:t>
            </w:r>
            <w:r>
              <w:rPr>
                <w:rFonts w:cs="宋体"/>
                <w:sz w:val="18"/>
                <w:szCs w:val="18"/>
              </w:rPr>
              <w:t>2.38</w:t>
            </w:r>
            <w:r>
              <w:rPr>
                <w:rFonts w:cs="宋体"/>
                <w:sz w:val="18"/>
                <w:szCs w:val="18"/>
              </w:rPr>
              <w:t>亿元。</w:t>
            </w:r>
          </w:p>
          <w:p w:rsidR="00111C67" w:rsidRDefault="009D1C30">
            <w:pPr>
              <w:spacing w:line="200" w:lineRule="exact"/>
            </w:pPr>
            <w:r>
              <w:rPr>
                <w:rFonts w:cs="宋体"/>
                <w:sz w:val="18"/>
                <w:szCs w:val="18"/>
              </w:rPr>
              <w:t>景顺长城基金管理有限公司成立于</w:t>
            </w:r>
            <w:r>
              <w:rPr>
                <w:rFonts w:cs="宋体"/>
                <w:sz w:val="18"/>
                <w:szCs w:val="18"/>
              </w:rPr>
              <w:t>2003</w:t>
            </w:r>
            <w:r>
              <w:rPr>
                <w:rFonts w:cs="宋体"/>
                <w:sz w:val="18"/>
                <w:szCs w:val="18"/>
              </w:rPr>
              <w:t>年</w:t>
            </w:r>
            <w:r>
              <w:rPr>
                <w:rFonts w:cs="宋体"/>
                <w:sz w:val="18"/>
                <w:szCs w:val="18"/>
              </w:rPr>
              <w:t>06</w:t>
            </w:r>
            <w:r>
              <w:rPr>
                <w:rFonts w:cs="宋体"/>
                <w:sz w:val="18"/>
                <w:szCs w:val="18"/>
              </w:rPr>
              <w:t>月</w:t>
            </w:r>
            <w:r>
              <w:rPr>
                <w:rFonts w:cs="宋体"/>
                <w:sz w:val="18"/>
                <w:szCs w:val="18"/>
              </w:rPr>
              <w:t>12</w:t>
            </w:r>
            <w:r>
              <w:rPr>
                <w:rFonts w:cs="宋体"/>
                <w:sz w:val="18"/>
                <w:szCs w:val="18"/>
              </w:rPr>
              <w:t>日，注册资本金</w:t>
            </w:r>
            <w:r>
              <w:rPr>
                <w:rFonts w:cs="宋体"/>
                <w:sz w:val="18"/>
                <w:szCs w:val="18"/>
              </w:rPr>
              <w:t>1.3</w:t>
            </w:r>
            <w:r>
              <w:rPr>
                <w:rFonts w:cs="宋体"/>
                <w:sz w:val="18"/>
                <w:szCs w:val="18"/>
              </w:rPr>
              <w:t>亿元。</w:t>
            </w:r>
          </w:p>
          <w:p w:rsidR="00111C67" w:rsidRDefault="009D1C30">
            <w:pPr>
              <w:spacing w:line="200" w:lineRule="exact"/>
            </w:pPr>
            <w:r>
              <w:rPr>
                <w:rFonts w:cs="宋体"/>
                <w:sz w:val="18"/>
                <w:szCs w:val="18"/>
              </w:rPr>
              <w:t>南方基金管理股份有限公司成立于</w:t>
            </w:r>
            <w:r>
              <w:rPr>
                <w:rFonts w:cs="宋体"/>
                <w:sz w:val="18"/>
                <w:szCs w:val="18"/>
              </w:rPr>
              <w:t>1998</w:t>
            </w:r>
            <w:r>
              <w:rPr>
                <w:rFonts w:cs="宋体"/>
                <w:sz w:val="18"/>
                <w:szCs w:val="18"/>
              </w:rPr>
              <w:t>年</w:t>
            </w:r>
            <w:r>
              <w:rPr>
                <w:rFonts w:cs="宋体"/>
                <w:sz w:val="18"/>
                <w:szCs w:val="18"/>
              </w:rPr>
              <w:t>03</w:t>
            </w:r>
            <w:r>
              <w:rPr>
                <w:rFonts w:cs="宋体"/>
                <w:sz w:val="18"/>
                <w:szCs w:val="18"/>
              </w:rPr>
              <w:t>月</w:t>
            </w:r>
            <w:r>
              <w:rPr>
                <w:rFonts w:cs="宋体"/>
                <w:sz w:val="18"/>
                <w:szCs w:val="18"/>
              </w:rPr>
              <w:t>06</w:t>
            </w:r>
            <w:r>
              <w:rPr>
                <w:rFonts w:cs="宋体"/>
                <w:sz w:val="18"/>
                <w:szCs w:val="18"/>
              </w:rPr>
              <w:t>日，注册资本金</w:t>
            </w:r>
            <w:r>
              <w:rPr>
                <w:rFonts w:cs="宋体"/>
                <w:sz w:val="18"/>
                <w:szCs w:val="18"/>
              </w:rPr>
              <w:t>3.62</w:t>
            </w:r>
            <w:r>
              <w:rPr>
                <w:rFonts w:cs="宋体"/>
                <w:sz w:val="18"/>
                <w:szCs w:val="18"/>
              </w:rPr>
              <w:t>亿元。</w:t>
            </w:r>
          </w:p>
          <w:p w:rsidR="00111C67" w:rsidRDefault="009D1C30">
            <w:pPr>
              <w:spacing w:line="200" w:lineRule="exact"/>
            </w:pPr>
            <w:r>
              <w:rPr>
                <w:rFonts w:cs="宋体"/>
                <w:sz w:val="18"/>
                <w:szCs w:val="18"/>
              </w:rPr>
              <w:t>万家基金管理有限公司成立于</w:t>
            </w:r>
            <w:r>
              <w:rPr>
                <w:rFonts w:cs="宋体"/>
                <w:sz w:val="18"/>
                <w:szCs w:val="18"/>
              </w:rPr>
              <w:t>2002</w:t>
            </w:r>
            <w:r>
              <w:rPr>
                <w:rFonts w:cs="宋体"/>
                <w:sz w:val="18"/>
                <w:szCs w:val="18"/>
              </w:rPr>
              <w:t>年</w:t>
            </w:r>
            <w:r>
              <w:rPr>
                <w:rFonts w:cs="宋体"/>
                <w:sz w:val="18"/>
                <w:szCs w:val="18"/>
              </w:rPr>
              <w:t>08</w:t>
            </w:r>
            <w:r>
              <w:rPr>
                <w:rFonts w:cs="宋体"/>
                <w:sz w:val="18"/>
                <w:szCs w:val="18"/>
              </w:rPr>
              <w:t>月</w:t>
            </w:r>
            <w:r>
              <w:rPr>
                <w:rFonts w:cs="宋体"/>
                <w:sz w:val="18"/>
                <w:szCs w:val="18"/>
              </w:rPr>
              <w:t>23</w:t>
            </w:r>
            <w:r>
              <w:rPr>
                <w:rFonts w:cs="宋体"/>
                <w:sz w:val="18"/>
                <w:szCs w:val="18"/>
              </w:rPr>
              <w:t>日，注册资本金</w:t>
            </w:r>
            <w:r>
              <w:rPr>
                <w:rFonts w:cs="宋体"/>
                <w:sz w:val="18"/>
                <w:szCs w:val="18"/>
              </w:rPr>
              <w:t>3</w:t>
            </w:r>
            <w:r>
              <w:rPr>
                <w:rFonts w:cs="宋体"/>
                <w:sz w:val="18"/>
                <w:szCs w:val="18"/>
              </w:rPr>
              <w:t>亿元。</w:t>
            </w:r>
          </w:p>
          <w:p w:rsidR="00111C67" w:rsidRDefault="009D1C30">
            <w:pPr>
              <w:spacing w:line="200" w:lineRule="exact"/>
            </w:pPr>
            <w:r>
              <w:rPr>
                <w:rFonts w:cs="宋体"/>
                <w:sz w:val="18"/>
                <w:szCs w:val="18"/>
              </w:rPr>
              <w:t>易方达基金管理有限公司成立于</w:t>
            </w:r>
            <w:r>
              <w:rPr>
                <w:rFonts w:cs="宋体"/>
                <w:sz w:val="18"/>
                <w:szCs w:val="18"/>
              </w:rPr>
              <w:t>2001</w:t>
            </w:r>
            <w:r>
              <w:rPr>
                <w:rFonts w:cs="宋体"/>
                <w:sz w:val="18"/>
                <w:szCs w:val="18"/>
              </w:rPr>
              <w:t>年</w:t>
            </w:r>
            <w:r>
              <w:rPr>
                <w:rFonts w:cs="宋体"/>
                <w:sz w:val="18"/>
                <w:szCs w:val="18"/>
              </w:rPr>
              <w:t>04</w:t>
            </w:r>
            <w:r>
              <w:rPr>
                <w:rFonts w:cs="宋体"/>
                <w:sz w:val="18"/>
                <w:szCs w:val="18"/>
              </w:rPr>
              <w:t>月</w:t>
            </w:r>
            <w:r>
              <w:rPr>
                <w:rFonts w:cs="宋体"/>
                <w:sz w:val="18"/>
                <w:szCs w:val="18"/>
              </w:rPr>
              <w:t>17</w:t>
            </w:r>
            <w:r>
              <w:rPr>
                <w:rFonts w:cs="宋体"/>
                <w:sz w:val="18"/>
                <w:szCs w:val="18"/>
              </w:rPr>
              <w:t>日，注册资本金</w:t>
            </w:r>
            <w:r>
              <w:rPr>
                <w:rFonts w:cs="宋体"/>
                <w:sz w:val="18"/>
                <w:szCs w:val="18"/>
              </w:rPr>
              <w:t>1.3</w:t>
            </w:r>
            <w:r>
              <w:rPr>
                <w:rFonts w:cs="宋体"/>
                <w:sz w:val="18"/>
                <w:szCs w:val="18"/>
              </w:rPr>
              <w:t>亿元。</w:t>
            </w:r>
          </w:p>
          <w:p w:rsidR="00111C67" w:rsidRDefault="009D1C30">
            <w:pPr>
              <w:spacing w:line="200" w:lineRule="exact"/>
            </w:pPr>
            <w:r>
              <w:rPr>
                <w:rFonts w:cs="宋体"/>
                <w:sz w:val="18"/>
                <w:szCs w:val="18"/>
              </w:rPr>
              <w:t>招商基金管理有限公司成立于</w:t>
            </w:r>
            <w:r>
              <w:rPr>
                <w:rFonts w:cs="宋体"/>
                <w:sz w:val="18"/>
                <w:szCs w:val="18"/>
              </w:rPr>
              <w:t>2002</w:t>
            </w:r>
            <w:r>
              <w:rPr>
                <w:rFonts w:cs="宋体"/>
                <w:sz w:val="18"/>
                <w:szCs w:val="18"/>
              </w:rPr>
              <w:t>年</w:t>
            </w:r>
            <w:r>
              <w:rPr>
                <w:rFonts w:cs="宋体"/>
                <w:sz w:val="18"/>
                <w:szCs w:val="18"/>
              </w:rPr>
              <w:t>12</w:t>
            </w:r>
            <w:r>
              <w:rPr>
                <w:rFonts w:cs="宋体"/>
                <w:sz w:val="18"/>
                <w:szCs w:val="18"/>
              </w:rPr>
              <w:t>月</w:t>
            </w:r>
            <w:r>
              <w:rPr>
                <w:rFonts w:cs="宋体"/>
                <w:sz w:val="18"/>
                <w:szCs w:val="18"/>
              </w:rPr>
              <w:t>27</w:t>
            </w:r>
            <w:r>
              <w:rPr>
                <w:rFonts w:cs="宋体"/>
                <w:sz w:val="18"/>
                <w:szCs w:val="18"/>
              </w:rPr>
              <w:t>日，注册资本金</w:t>
            </w:r>
            <w:r>
              <w:rPr>
                <w:rFonts w:cs="宋体"/>
                <w:sz w:val="18"/>
                <w:szCs w:val="18"/>
              </w:rPr>
              <w:t>13.1</w:t>
            </w:r>
            <w:r>
              <w:rPr>
                <w:rFonts w:cs="宋体"/>
                <w:sz w:val="18"/>
                <w:szCs w:val="18"/>
              </w:rPr>
              <w:t>亿元。</w:t>
            </w:r>
          </w:p>
        </w:tc>
      </w:tr>
      <w:tr w:rsidR="00111C6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111C67" w:rsidRDefault="009D1C30">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111C67" w:rsidRDefault="009D1C30">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w:t>
            </w:r>
            <w:r>
              <w:rPr>
                <w:rFonts w:cs="宋体"/>
                <w:color w:val="000000"/>
                <w:sz w:val="18"/>
                <w:szCs w:val="18"/>
              </w:rPr>
              <w:t>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111C67" w:rsidRDefault="009D1C30">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111C67" w:rsidRDefault="009D1C30">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111C67" w:rsidRDefault="009D1C30">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w:t>
            </w:r>
            <w:r>
              <w:rPr>
                <w:rFonts w:cs="宋体"/>
                <w:color w:val="000000"/>
                <w:sz w:val="18"/>
                <w:szCs w:val="18"/>
              </w:rPr>
              <w:t>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111C6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111C6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发生下列情形时，管理人可暂停接受投资者认申购申请：</w:t>
            </w:r>
          </w:p>
          <w:p w:rsidR="00111C67" w:rsidRDefault="009D1C30">
            <w:pPr>
              <w:spacing w:line="200" w:lineRule="exact"/>
            </w:pPr>
            <w:r>
              <w:rPr>
                <w:rFonts w:cs="宋体"/>
                <w:sz w:val="18"/>
                <w:szCs w:val="18"/>
              </w:rPr>
              <w:t>1.</w:t>
            </w:r>
            <w:r>
              <w:rPr>
                <w:rFonts w:cs="宋体"/>
                <w:sz w:val="18"/>
                <w:szCs w:val="18"/>
              </w:rPr>
              <w:t>因不可抗力导致理财产品无法正常运作；</w:t>
            </w:r>
          </w:p>
          <w:p w:rsidR="00111C67" w:rsidRDefault="009D1C30">
            <w:pPr>
              <w:spacing w:line="200" w:lineRule="exact"/>
            </w:pPr>
            <w:r>
              <w:rPr>
                <w:rFonts w:cs="宋体"/>
                <w:sz w:val="18"/>
                <w:szCs w:val="18"/>
              </w:rPr>
              <w:t>2.</w:t>
            </w:r>
            <w:r>
              <w:rPr>
                <w:rFonts w:cs="宋体"/>
                <w:sz w:val="18"/>
                <w:szCs w:val="18"/>
              </w:rPr>
              <w:t>因监管政策、市场发生重大变化，导致理财产品无法正常运作；</w:t>
            </w:r>
          </w:p>
          <w:p w:rsidR="00111C67" w:rsidRDefault="009D1C30">
            <w:pPr>
              <w:spacing w:line="200" w:lineRule="exact"/>
            </w:pPr>
            <w:r>
              <w:rPr>
                <w:rFonts w:cs="宋体"/>
                <w:sz w:val="18"/>
                <w:szCs w:val="18"/>
              </w:rPr>
              <w:t>3.</w:t>
            </w:r>
            <w:r>
              <w:rPr>
                <w:rFonts w:cs="宋体"/>
                <w:sz w:val="18"/>
                <w:szCs w:val="18"/>
              </w:rPr>
              <w:t>管理人认为需要暂停认申购的其他情形。</w:t>
            </w:r>
          </w:p>
          <w:p w:rsidR="00111C67" w:rsidRDefault="009D1C30">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111C6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lastRenderedPageBreak/>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111C67" w:rsidRDefault="009D1C30">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111C6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111C67" w:rsidRDefault="009D1C30">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111C67" w:rsidRDefault="009D1C30">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111C67" w:rsidRDefault="009D1C30">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111C6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11C67" w:rsidRDefault="009D1C3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11C67" w:rsidRDefault="009D1C3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11C67" w:rsidRDefault="009D1C30">
      <w:pPr>
        <w:pStyle w:val="Normalb60d18f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11C67" w:rsidRDefault="009D1C30">
      <w:pPr>
        <w:pStyle w:val="Normal510e485a510e485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11C67" w:rsidRDefault="009D1C30">
      <w:pPr>
        <w:pStyle w:val="Normal510e485a510e485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11C67" w:rsidRDefault="009D1C30">
      <w:pPr>
        <w:pStyle w:val="Normal510e485a510e485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11C67" w:rsidRDefault="009D1C30">
      <w:pPr>
        <w:pStyle w:val="Normal510e485a510e485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11C67" w:rsidRDefault="009D1C30">
      <w:pPr>
        <w:pStyle w:val="Normal510e485a510e485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11C67" w:rsidRDefault="009D1C30">
      <w:pPr>
        <w:pStyle w:val="Normal510e485a510e485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11C67" w:rsidRDefault="009D1C30">
      <w:pPr>
        <w:pStyle w:val="Normal510e485a510e485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11C67" w:rsidRDefault="009D1C30">
      <w:pPr>
        <w:pStyle w:val="Normal510e485a510e485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南银理财珠联璧合增瑞明远两年定开</w:t>
      </w:r>
      <w:r>
        <w:rPr>
          <w:b/>
          <w:bCs/>
          <w:color w:val="3D3D3D"/>
          <w:kern w:val="0"/>
          <w:sz w:val="15"/>
          <w:szCs w:val="15"/>
        </w:rPr>
        <w:t>2022</w:t>
      </w:r>
      <w:r>
        <w:rPr>
          <w:b/>
          <w:bCs/>
          <w:color w:val="3D3D3D"/>
          <w:kern w:val="0"/>
          <w:sz w:val="15"/>
          <w:szCs w:val="15"/>
        </w:rPr>
        <w:t>第</w:t>
      </w:r>
      <w:r>
        <w:rPr>
          <w:b/>
          <w:bCs/>
          <w:color w:val="3D3D3D"/>
          <w:kern w:val="0"/>
          <w:sz w:val="15"/>
          <w:szCs w:val="15"/>
        </w:rPr>
        <w:t>1</w:t>
      </w:r>
      <w:r>
        <w:rPr>
          <w:b/>
          <w:bCs/>
          <w:color w:val="3D3D3D"/>
          <w:kern w:val="0"/>
          <w:sz w:val="15"/>
          <w:szCs w:val="15"/>
        </w:rPr>
        <w:t>期公募人民币理财产品</w:t>
      </w:r>
      <w:r>
        <w:rPr>
          <w:rFonts w:hint="eastAsia"/>
          <w:color w:val="3D3D3D"/>
          <w:kern w:val="0"/>
          <w:sz w:val="15"/>
          <w:szCs w:val="15"/>
        </w:rPr>
        <w:t>。</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11C67" w:rsidRDefault="009D1C30">
      <w:pPr>
        <w:pStyle w:val="Normal510e485a510e485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111C67" w:rsidRDefault="009D1C30">
      <w:pPr>
        <w:pStyle w:val="Normal510e485a510e485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11C67" w:rsidRDefault="009D1C30">
      <w:pPr>
        <w:pStyle w:val="Normal510e485a510e485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11C67" w:rsidRDefault="009D1C30">
      <w:pPr>
        <w:pStyle w:val="Normal510e485a510e485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11C67" w:rsidRDefault="009D1C30">
      <w:pPr>
        <w:pStyle w:val="1674774d9674774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111C67" w:rsidRDefault="009D1C30">
      <w:pPr>
        <w:pStyle w:val="1674774d9674774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111C67" w:rsidRDefault="009D1C30">
      <w:pPr>
        <w:pStyle w:val="1674774d9674774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11C67" w:rsidRDefault="009D1C30">
      <w:pPr>
        <w:pStyle w:val="1674774d9674774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11C67" w:rsidRDefault="009D1C30">
      <w:pPr>
        <w:pStyle w:val="1674774d9674774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11C67" w:rsidRDefault="009D1C30">
      <w:pPr>
        <w:pStyle w:val="1674774d9674774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11C67" w:rsidRDefault="009D1C30">
      <w:pPr>
        <w:pStyle w:val="Normal510e485a510e485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11C67" w:rsidRDefault="009D1C30">
      <w:pPr>
        <w:pStyle w:val="Normal510e485a510e485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11C67" w:rsidRDefault="009D1C30">
      <w:pPr>
        <w:pStyle w:val="Normal510e485a510e485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111C67" w:rsidRDefault="009D1C30">
      <w:pPr>
        <w:pStyle w:val="Normalb60d18f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11C67" w:rsidRDefault="009D1C30">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111C67" w:rsidRDefault="009D1C3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111C67" w:rsidRDefault="009D1C30">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111C67" w:rsidRDefault="009D1C30">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111C67" w:rsidRDefault="009D1C30">
      <w:pPr>
        <w:pStyle w:val="Normalb60d18fb"/>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11C67" w:rsidRDefault="009D1C30">
      <w:pPr>
        <w:pStyle w:val="Normalb60d18fb"/>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11C67" w:rsidRDefault="009D1C30">
      <w:pPr>
        <w:pStyle w:val="Normalb60d18f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11C67" w:rsidRDefault="009D1C30">
      <w:pPr>
        <w:spacing w:line="200" w:lineRule="exact"/>
        <w:ind w:firstLine="300"/>
      </w:pPr>
      <w:r>
        <w:rPr>
          <w:rFonts w:cs="宋体"/>
          <w:sz w:val="15"/>
          <w:szCs w:val="20"/>
        </w:rPr>
        <w:t>（一）估值日</w:t>
      </w:r>
    </w:p>
    <w:p w:rsidR="00111C67" w:rsidRDefault="009D1C30">
      <w:pPr>
        <w:spacing w:line="200" w:lineRule="exact"/>
        <w:ind w:firstLine="300"/>
      </w:pPr>
      <w:r>
        <w:rPr>
          <w:rFonts w:cs="宋体"/>
          <w:sz w:val="15"/>
          <w:szCs w:val="20"/>
        </w:rPr>
        <w:t>本理财产品每个工作日进行估值。</w:t>
      </w:r>
    </w:p>
    <w:p w:rsidR="00111C67" w:rsidRDefault="009D1C30">
      <w:pPr>
        <w:spacing w:line="200" w:lineRule="exact"/>
        <w:ind w:firstLine="300"/>
      </w:pPr>
      <w:r>
        <w:rPr>
          <w:rFonts w:cs="宋体"/>
          <w:sz w:val="15"/>
          <w:szCs w:val="20"/>
        </w:rPr>
        <w:t>（二）估值对象</w:t>
      </w:r>
    </w:p>
    <w:p w:rsidR="00111C67" w:rsidRDefault="009D1C30">
      <w:pPr>
        <w:spacing w:line="200" w:lineRule="exact"/>
        <w:ind w:firstLine="300"/>
      </w:pPr>
      <w:r>
        <w:rPr>
          <w:rFonts w:cs="宋体"/>
          <w:sz w:val="15"/>
          <w:szCs w:val="20"/>
        </w:rPr>
        <w:t>本理财产品所拥有的所有资产及负债。</w:t>
      </w:r>
    </w:p>
    <w:p w:rsidR="00111C67" w:rsidRDefault="009D1C30">
      <w:pPr>
        <w:spacing w:line="200" w:lineRule="exact"/>
        <w:ind w:firstLine="300"/>
      </w:pPr>
      <w:r>
        <w:rPr>
          <w:rFonts w:cs="宋体"/>
          <w:sz w:val="15"/>
          <w:szCs w:val="20"/>
        </w:rPr>
        <w:t>（三）估值目的</w:t>
      </w:r>
    </w:p>
    <w:p w:rsidR="00111C67" w:rsidRDefault="009D1C30">
      <w:pPr>
        <w:spacing w:line="200" w:lineRule="exact"/>
        <w:ind w:firstLine="300"/>
      </w:pPr>
      <w:r>
        <w:rPr>
          <w:rFonts w:cs="宋体"/>
          <w:sz w:val="15"/>
          <w:szCs w:val="20"/>
        </w:rPr>
        <w:t>客观、准确反映理财产品的价值。</w:t>
      </w:r>
    </w:p>
    <w:p w:rsidR="00111C67" w:rsidRDefault="009D1C30">
      <w:pPr>
        <w:spacing w:line="200" w:lineRule="exact"/>
        <w:ind w:firstLine="300"/>
      </w:pPr>
      <w:r>
        <w:rPr>
          <w:rFonts w:cs="宋体"/>
          <w:sz w:val="15"/>
          <w:szCs w:val="20"/>
        </w:rPr>
        <w:t>（四）估值原则</w:t>
      </w:r>
    </w:p>
    <w:p w:rsidR="00111C67" w:rsidRDefault="009D1C3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11C67" w:rsidRDefault="009D1C30">
      <w:pPr>
        <w:spacing w:line="200" w:lineRule="exact"/>
        <w:ind w:firstLine="300"/>
      </w:pPr>
      <w:r>
        <w:rPr>
          <w:rFonts w:cs="宋体"/>
          <w:sz w:val="15"/>
          <w:szCs w:val="20"/>
        </w:rPr>
        <w:t>（五）估值方法</w:t>
      </w:r>
    </w:p>
    <w:p w:rsidR="00111C67" w:rsidRDefault="009D1C30">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111C67" w:rsidRDefault="009D1C30">
      <w:pPr>
        <w:spacing w:line="200" w:lineRule="exact"/>
        <w:ind w:firstLine="280"/>
        <w:jc w:val="left"/>
      </w:pPr>
      <w:r>
        <w:rPr>
          <w:rFonts w:cs="宋体"/>
          <w:sz w:val="15"/>
          <w:szCs w:val="20"/>
        </w:rPr>
        <w:t>1.</w:t>
      </w:r>
      <w:r>
        <w:rPr>
          <w:rFonts w:cs="宋体"/>
          <w:sz w:val="15"/>
          <w:szCs w:val="20"/>
        </w:rPr>
        <w:t>银行存款、回购等货币市场工具</w:t>
      </w:r>
    </w:p>
    <w:p w:rsidR="00111C67" w:rsidRDefault="009D1C30">
      <w:pPr>
        <w:spacing w:line="200" w:lineRule="exact"/>
        <w:ind w:firstLine="280"/>
        <w:jc w:val="left"/>
      </w:pPr>
      <w:r>
        <w:rPr>
          <w:rFonts w:cs="宋体"/>
          <w:sz w:val="15"/>
          <w:szCs w:val="20"/>
        </w:rPr>
        <w:t>以本金列示，按商定的利率在实际持有期间内逐日计提。</w:t>
      </w:r>
    </w:p>
    <w:p w:rsidR="00111C67" w:rsidRDefault="009D1C30">
      <w:pPr>
        <w:spacing w:line="200" w:lineRule="exact"/>
        <w:ind w:firstLine="280"/>
        <w:jc w:val="left"/>
      </w:pPr>
      <w:r>
        <w:rPr>
          <w:rFonts w:cs="宋体"/>
          <w:color w:val="3D3D3D"/>
          <w:sz w:val="15"/>
          <w:szCs w:val="20"/>
        </w:rPr>
        <w:t>2.</w:t>
      </w:r>
      <w:r>
        <w:rPr>
          <w:rFonts w:cs="宋体"/>
          <w:color w:val="3D3D3D"/>
          <w:sz w:val="15"/>
          <w:szCs w:val="20"/>
        </w:rPr>
        <w:t>债券类资产</w:t>
      </w:r>
    </w:p>
    <w:p w:rsidR="00111C67" w:rsidRDefault="009D1C30">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111C67" w:rsidRDefault="009D1C30">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111C67" w:rsidRDefault="009D1C30">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111C67" w:rsidRDefault="009D1C30">
      <w:pPr>
        <w:spacing w:line="200" w:lineRule="exact"/>
        <w:ind w:firstLine="280"/>
        <w:jc w:val="left"/>
      </w:pPr>
      <w:r>
        <w:rPr>
          <w:rFonts w:cs="宋体"/>
          <w:color w:val="3D3D3D"/>
          <w:sz w:val="15"/>
          <w:szCs w:val="20"/>
        </w:rPr>
        <w:t>4.</w:t>
      </w:r>
      <w:r>
        <w:rPr>
          <w:rFonts w:cs="宋体"/>
          <w:color w:val="3D3D3D"/>
          <w:sz w:val="15"/>
          <w:szCs w:val="20"/>
        </w:rPr>
        <w:t>证券投资基金</w:t>
      </w:r>
    </w:p>
    <w:p w:rsidR="00111C67" w:rsidRDefault="009D1C30">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11C67" w:rsidRDefault="009D1C30">
      <w:pPr>
        <w:spacing w:line="200" w:lineRule="exact"/>
        <w:ind w:firstLine="280"/>
        <w:jc w:val="left"/>
      </w:pPr>
      <w:r>
        <w:rPr>
          <w:rFonts w:cs="宋体"/>
          <w:color w:val="3D3D3D"/>
          <w:sz w:val="15"/>
          <w:szCs w:val="20"/>
        </w:rPr>
        <w:t>5.</w:t>
      </w:r>
      <w:r>
        <w:rPr>
          <w:rFonts w:cs="宋体"/>
          <w:color w:val="3D3D3D"/>
          <w:sz w:val="15"/>
          <w:szCs w:val="20"/>
        </w:rPr>
        <w:t>股权类资产</w:t>
      </w:r>
    </w:p>
    <w:p w:rsidR="00111C67" w:rsidRDefault="009D1C30">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111C67" w:rsidRDefault="009D1C30">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111C67" w:rsidRDefault="009D1C3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111C67" w:rsidRDefault="009D1C30">
      <w:pPr>
        <w:spacing w:line="200" w:lineRule="exact"/>
        <w:ind w:firstLine="280"/>
        <w:jc w:val="left"/>
      </w:pPr>
      <w:r>
        <w:rPr>
          <w:rFonts w:cs="宋体"/>
          <w:color w:val="3D3D3D"/>
          <w:sz w:val="15"/>
          <w:szCs w:val="20"/>
        </w:rPr>
        <w:t>7.</w:t>
      </w:r>
      <w:r>
        <w:rPr>
          <w:rFonts w:cs="宋体"/>
          <w:color w:val="3D3D3D"/>
          <w:sz w:val="15"/>
          <w:szCs w:val="20"/>
        </w:rPr>
        <w:t>其他资产</w:t>
      </w:r>
    </w:p>
    <w:p w:rsidR="00111C67" w:rsidRDefault="009D1C3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111C67" w:rsidRDefault="009D1C30">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111C67" w:rsidRDefault="009D1C30">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111C67" w:rsidRDefault="009D1C30">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111C67" w:rsidRDefault="009D1C30">
      <w:pPr>
        <w:spacing w:line="200" w:lineRule="exact"/>
        <w:ind w:firstLine="300"/>
      </w:pPr>
      <w:r>
        <w:rPr>
          <w:rFonts w:cs="宋体"/>
          <w:sz w:val="15"/>
          <w:szCs w:val="20"/>
        </w:rPr>
        <w:lastRenderedPageBreak/>
        <w:t>（六）估值错误及暂停估值</w:t>
      </w:r>
    </w:p>
    <w:p w:rsidR="00111C67" w:rsidRDefault="009D1C3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111C67" w:rsidRDefault="009D1C30">
      <w:pPr>
        <w:pStyle w:val="Normalb60d18f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11C67" w:rsidRDefault="009D1C30">
      <w:pPr>
        <w:pStyle w:val="Normalb60d18f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11C67" w:rsidRDefault="009D1C3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111C67" w:rsidRDefault="009D1C30">
      <w:pPr>
        <w:pStyle w:val="Normalb60d18f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11C67" w:rsidRDefault="009D1C30">
      <w:pPr>
        <w:pStyle w:val="Normalb60d18fb"/>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11C67" w:rsidRDefault="009D1C30">
      <w:pPr>
        <w:pStyle w:val="Normalb60d18f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11C67" w:rsidRDefault="009D1C30">
      <w:pPr>
        <w:pStyle w:val="Normalb60d18f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11C67" w:rsidRDefault="009D1C30">
      <w:pPr>
        <w:pStyle w:val="Normalb60d18f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11C67" w:rsidRDefault="009D1C30">
      <w:pPr>
        <w:pStyle w:val="Normalb60d18f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111C67" w:rsidRDefault="009D1C30">
      <w:pPr>
        <w:pStyle w:val="Normalb60d18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111C67" w:rsidRDefault="009D1C30">
      <w:pPr>
        <w:pStyle w:val="Normalb60d18f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11C67" w:rsidRDefault="009D1C30">
      <w:pPr>
        <w:pStyle w:val="Normalb60d18f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11C67" w:rsidRDefault="009D1C30">
      <w:pPr>
        <w:pStyle w:val="Normalb60d18f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111C67" w:rsidRDefault="009D1C30">
      <w:pPr>
        <w:pStyle w:val="Normalb60d18f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11C67" w:rsidRDefault="009D1C30">
      <w:pPr>
        <w:pStyle w:val="Normalb60d18f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11C67" w:rsidRDefault="009D1C30">
      <w:pPr>
        <w:pStyle w:val="Normalb60d18f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11C67" w:rsidRDefault="009D1C30">
      <w:pPr>
        <w:pStyle w:val="Normalb60d18f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11C67" w:rsidRDefault="009D1C30">
      <w:pPr>
        <w:pStyle w:val="Normalb60d18f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11C67" w:rsidRDefault="009D1C30">
      <w:pPr>
        <w:pStyle w:val="Normalb60d18f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11C67" w:rsidRDefault="009D1C30">
      <w:pPr>
        <w:pStyle w:val="Normalb60d18fb"/>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11C67" w:rsidRDefault="009D1C30">
      <w:pPr>
        <w:pStyle w:val="Normalb60d18f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111C67" w:rsidRDefault="00111C67">
      <w:pPr>
        <w:pStyle w:val="Normalb60d18fb"/>
        <w:widowControl/>
        <w:rPr>
          <w:b/>
          <w:bCs/>
          <w:color w:val="3D3D3D"/>
          <w:kern w:val="0"/>
          <w:sz w:val="15"/>
          <w:szCs w:val="15"/>
        </w:rPr>
      </w:pPr>
    </w:p>
    <w:p w:rsidR="00111C67" w:rsidRDefault="009D1C30">
      <w:pPr>
        <w:pStyle w:val="Normalb60d18fb"/>
        <w:widowControl/>
        <w:rPr>
          <w:b/>
          <w:bCs/>
          <w:color w:val="3D3D3D"/>
          <w:kern w:val="0"/>
          <w:sz w:val="15"/>
          <w:szCs w:val="15"/>
        </w:rPr>
      </w:pPr>
      <w:r>
        <w:rPr>
          <w:rFonts w:hint="eastAsia"/>
          <w:b/>
          <w:bCs/>
          <w:color w:val="3D3D3D"/>
          <w:kern w:val="0"/>
          <w:sz w:val="15"/>
          <w:szCs w:val="15"/>
        </w:rPr>
        <w:t>风险提示：</w:t>
      </w:r>
    </w:p>
    <w:p w:rsidR="00111C67" w:rsidRDefault="009D1C30">
      <w:pPr>
        <w:pStyle w:val="Normalb60d18f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936A0" w:rsidRDefault="008936A0" w:rsidP="008936A0">
      <w:pPr>
        <w:pStyle w:val="10"/>
      </w:pPr>
    </w:p>
    <w:p w:rsidR="008936A0" w:rsidRDefault="008936A0" w:rsidP="008936A0"/>
    <w:p w:rsidR="008936A0" w:rsidRDefault="008936A0" w:rsidP="008936A0"/>
    <w:p w:rsidR="008936A0" w:rsidRDefault="008936A0" w:rsidP="008936A0"/>
    <w:p w:rsidR="008936A0" w:rsidRDefault="008936A0" w:rsidP="008936A0"/>
    <w:p w:rsidR="008936A0" w:rsidRDefault="008936A0" w:rsidP="008936A0"/>
    <w:p w:rsidR="008936A0" w:rsidRDefault="008936A0" w:rsidP="008936A0"/>
    <w:p w:rsidR="008936A0" w:rsidRDefault="008936A0" w:rsidP="008936A0"/>
    <w:p w:rsidR="008936A0" w:rsidRDefault="008936A0" w:rsidP="008936A0"/>
    <w:p w:rsidR="008936A0" w:rsidRDefault="008936A0" w:rsidP="008936A0"/>
    <w:p w:rsidR="008936A0" w:rsidRDefault="008936A0" w:rsidP="008936A0">
      <w:pPr>
        <w:rPr>
          <w:rFonts w:hint="eastAsia"/>
        </w:rPr>
      </w:pPr>
    </w:p>
    <w:p w:rsidR="008936A0" w:rsidRDefault="008936A0" w:rsidP="008936A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936A0" w:rsidRDefault="008936A0" w:rsidP="008936A0">
      <w:pPr>
        <w:ind w:firstLineChars="200" w:firstLine="321"/>
        <w:jc w:val="center"/>
        <w:rPr>
          <w:rFonts w:ascii="宋体" w:hAnsi="宋体"/>
          <w:b/>
          <w:i/>
          <w:sz w:val="16"/>
          <w:szCs w:val="15"/>
          <w:u w:val="single"/>
        </w:rPr>
      </w:pPr>
    </w:p>
    <w:p w:rsidR="008936A0" w:rsidRDefault="008936A0" w:rsidP="008936A0">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936A0" w:rsidRDefault="008936A0" w:rsidP="008936A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936A0" w:rsidRDefault="008936A0" w:rsidP="008936A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936A0" w:rsidRDefault="008936A0" w:rsidP="008936A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936A0" w:rsidRDefault="008936A0" w:rsidP="008936A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936A0" w:rsidRDefault="008936A0" w:rsidP="008936A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936A0" w:rsidRDefault="008936A0" w:rsidP="008936A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936A0" w:rsidRDefault="008936A0" w:rsidP="008936A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936A0" w:rsidRDefault="008936A0" w:rsidP="008936A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936A0" w:rsidRDefault="008936A0" w:rsidP="008936A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936A0" w:rsidRDefault="008936A0" w:rsidP="008936A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936A0" w:rsidRDefault="008936A0" w:rsidP="008936A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936A0" w:rsidRDefault="008936A0" w:rsidP="008936A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936A0" w:rsidRDefault="008936A0" w:rsidP="008936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936A0" w:rsidRDefault="008936A0" w:rsidP="008936A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936A0" w:rsidRDefault="008936A0" w:rsidP="008936A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936A0" w:rsidRDefault="008936A0" w:rsidP="008936A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936A0" w:rsidRDefault="008936A0" w:rsidP="008936A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936A0" w:rsidRDefault="008936A0" w:rsidP="008936A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936A0" w:rsidRDefault="008936A0" w:rsidP="008936A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936A0" w:rsidRDefault="008936A0" w:rsidP="008936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936A0" w:rsidRDefault="008936A0" w:rsidP="008936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936A0" w:rsidRDefault="008936A0" w:rsidP="008936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936A0" w:rsidRDefault="008936A0" w:rsidP="008936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936A0" w:rsidRDefault="008936A0" w:rsidP="008936A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936A0" w:rsidRPr="009807FC" w:rsidRDefault="008936A0" w:rsidP="008936A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936A0" w:rsidRPr="009807FC" w:rsidRDefault="008936A0" w:rsidP="008936A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936A0" w:rsidRPr="009807FC" w:rsidRDefault="008936A0" w:rsidP="008936A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936A0" w:rsidRPr="009807FC" w:rsidRDefault="008936A0" w:rsidP="008936A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936A0" w:rsidRPr="009807FC" w:rsidRDefault="008936A0" w:rsidP="008936A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936A0" w:rsidRPr="009807FC" w:rsidRDefault="008936A0" w:rsidP="008936A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936A0" w:rsidRDefault="008936A0" w:rsidP="008936A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936A0" w:rsidRDefault="008936A0" w:rsidP="008936A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936A0" w:rsidRDefault="008936A0" w:rsidP="008936A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936A0" w:rsidRDefault="008936A0" w:rsidP="008936A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936A0" w:rsidRDefault="008936A0" w:rsidP="008936A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936A0" w:rsidRDefault="008936A0" w:rsidP="008936A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936A0" w:rsidRDefault="008936A0" w:rsidP="008936A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936A0" w:rsidRDefault="008936A0" w:rsidP="008936A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936A0" w:rsidRDefault="008936A0" w:rsidP="008936A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936A0" w:rsidRDefault="008936A0" w:rsidP="008936A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936A0" w:rsidRDefault="008936A0" w:rsidP="008936A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936A0" w:rsidRDefault="008936A0" w:rsidP="008936A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936A0" w:rsidRDefault="008936A0" w:rsidP="008936A0">
      <w:pPr>
        <w:pStyle w:val="ab"/>
        <w:spacing w:before="0" w:after="0" w:line="240" w:lineRule="auto"/>
        <w:ind w:firstLineChars="198" w:firstLine="338"/>
        <w:jc w:val="both"/>
        <w:rPr>
          <w:b/>
          <w:bCs/>
          <w:spacing w:val="10"/>
          <w:kern w:val="2"/>
          <w:sz w:val="15"/>
          <w:szCs w:val="15"/>
        </w:rPr>
      </w:pPr>
    </w:p>
    <w:p w:rsidR="008936A0" w:rsidRDefault="008936A0" w:rsidP="008936A0">
      <w:pPr>
        <w:pStyle w:val="ab"/>
        <w:spacing w:before="0" w:after="0" w:line="240" w:lineRule="auto"/>
        <w:ind w:firstLineChars="198" w:firstLine="338"/>
        <w:jc w:val="both"/>
        <w:rPr>
          <w:b/>
          <w:bCs/>
          <w:spacing w:val="10"/>
          <w:kern w:val="2"/>
          <w:sz w:val="15"/>
          <w:szCs w:val="15"/>
        </w:rPr>
      </w:pPr>
    </w:p>
    <w:p w:rsidR="008936A0" w:rsidRDefault="008936A0" w:rsidP="008936A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936A0" w:rsidTr="00CD006E">
        <w:trPr>
          <w:trHeight w:val="178"/>
          <w:jc w:val="center"/>
        </w:trPr>
        <w:tc>
          <w:tcPr>
            <w:tcW w:w="1866" w:type="dxa"/>
            <w:vMerge w:val="restart"/>
            <w:tcBorders>
              <w:top w:val="single" w:sz="4" w:space="0" w:color="auto"/>
              <w:left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936A0" w:rsidTr="00CD006E">
        <w:trPr>
          <w:trHeight w:val="735"/>
          <w:jc w:val="center"/>
        </w:trPr>
        <w:tc>
          <w:tcPr>
            <w:tcW w:w="1866" w:type="dxa"/>
            <w:vMerge/>
            <w:tcBorders>
              <w:left w:val="single" w:sz="4" w:space="0" w:color="auto"/>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936A0" w:rsidTr="00CD006E">
        <w:trPr>
          <w:trHeight w:val="270"/>
          <w:jc w:val="center"/>
        </w:trPr>
        <w:tc>
          <w:tcPr>
            <w:tcW w:w="1866" w:type="dxa"/>
            <w:tcBorders>
              <w:top w:val="nil"/>
              <w:left w:val="single" w:sz="4" w:space="0" w:color="auto"/>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r>
      <w:tr w:rsidR="008936A0"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936A0" w:rsidRDefault="008936A0" w:rsidP="00CD006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r>
      <w:tr w:rsidR="008936A0"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936A0" w:rsidRDefault="008936A0" w:rsidP="00CD006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r>
      <w:tr w:rsidR="008936A0"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r>
      <w:tr w:rsidR="008936A0"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36A0" w:rsidRDefault="008936A0" w:rsidP="00CD006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936A0" w:rsidRDefault="008936A0" w:rsidP="00CD006E">
            <w:pPr>
              <w:widowControl/>
              <w:snapToGrid w:val="0"/>
              <w:jc w:val="center"/>
              <w:rPr>
                <w:rFonts w:ascii="宋体" w:hAnsi="宋体" w:cs="宋体"/>
                <w:kern w:val="0"/>
                <w:sz w:val="15"/>
                <w:szCs w:val="15"/>
              </w:rPr>
            </w:pPr>
            <w:r>
              <w:rPr>
                <w:rFonts w:hint="eastAsia"/>
                <w:spacing w:val="10"/>
                <w:sz w:val="15"/>
                <w:szCs w:val="15"/>
              </w:rPr>
              <w:t>×</w:t>
            </w:r>
          </w:p>
        </w:tc>
      </w:tr>
    </w:tbl>
    <w:p w:rsidR="008936A0" w:rsidRDefault="008936A0" w:rsidP="008936A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936A0" w:rsidRDefault="008936A0" w:rsidP="008936A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936A0" w:rsidRDefault="008936A0" w:rsidP="008936A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936A0" w:rsidRDefault="008936A0" w:rsidP="008936A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936A0" w:rsidRDefault="008936A0" w:rsidP="008936A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936A0" w:rsidRDefault="008936A0" w:rsidP="008936A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936A0" w:rsidRDefault="008936A0" w:rsidP="008936A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936A0" w:rsidRDefault="008936A0" w:rsidP="008936A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936A0" w:rsidRDefault="008936A0" w:rsidP="008936A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936A0" w:rsidRDefault="008936A0" w:rsidP="008936A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936A0" w:rsidRDefault="008936A0" w:rsidP="008936A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936A0" w:rsidRDefault="008936A0" w:rsidP="008936A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936A0" w:rsidRDefault="008936A0" w:rsidP="008936A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936A0" w:rsidRDefault="008936A0" w:rsidP="008936A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936A0" w:rsidRDefault="008936A0" w:rsidP="008936A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936A0" w:rsidRDefault="008936A0" w:rsidP="008936A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936A0" w:rsidRDefault="008936A0" w:rsidP="008936A0">
      <w:pPr>
        <w:pStyle w:val="ab"/>
        <w:spacing w:before="0" w:after="0" w:line="240" w:lineRule="auto"/>
        <w:ind w:firstLineChars="200" w:firstLine="341"/>
        <w:rPr>
          <w:b/>
          <w:spacing w:val="10"/>
          <w:kern w:val="2"/>
          <w:sz w:val="15"/>
          <w:szCs w:val="15"/>
        </w:rPr>
      </w:pPr>
    </w:p>
    <w:p w:rsidR="008936A0" w:rsidRDefault="008936A0" w:rsidP="008936A0">
      <w:pPr>
        <w:pStyle w:val="ab"/>
        <w:spacing w:before="0" w:after="0" w:line="240" w:lineRule="auto"/>
        <w:ind w:firstLine="0"/>
        <w:jc w:val="both"/>
        <w:rPr>
          <w:b/>
          <w:spacing w:val="10"/>
          <w:kern w:val="2"/>
          <w:sz w:val="15"/>
          <w:szCs w:val="15"/>
          <w:u w:val="single"/>
        </w:rPr>
      </w:pPr>
    </w:p>
    <w:p w:rsidR="008936A0" w:rsidRDefault="008936A0" w:rsidP="008936A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936A0" w:rsidRDefault="008936A0" w:rsidP="008936A0">
      <w:pPr>
        <w:ind w:firstLineChars="200" w:firstLine="341"/>
        <w:rPr>
          <w:b/>
          <w:spacing w:val="10"/>
          <w:sz w:val="15"/>
          <w:szCs w:val="15"/>
          <w:u w:val="single"/>
        </w:rPr>
        <w:sectPr w:rsidR="008936A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r>
        <w:rPr>
          <w:rFonts w:eastAsia="黑体"/>
          <w:b/>
          <w:bCs/>
          <w:sz w:val="24"/>
          <w:szCs w:val="15"/>
        </w:rPr>
        <w:t>理财产品销售协议书</w:t>
      </w:r>
    </w:p>
    <w:p w:rsidR="008936A0" w:rsidRDefault="008936A0" w:rsidP="008936A0">
      <w:pPr>
        <w:tabs>
          <w:tab w:val="left" w:pos="0"/>
        </w:tabs>
        <w:jc w:val="center"/>
      </w:pPr>
    </w:p>
    <w:p w:rsidR="008936A0" w:rsidRDefault="008936A0" w:rsidP="008936A0">
      <w:pPr>
        <w:tabs>
          <w:tab w:val="left" w:pos="0"/>
        </w:tabs>
        <w:jc w:val="center"/>
      </w:pPr>
    </w:p>
    <w:p w:rsidR="008936A0" w:rsidRDefault="008936A0" w:rsidP="008936A0">
      <w:pPr>
        <w:tabs>
          <w:tab w:val="left" w:pos="0"/>
        </w:tabs>
        <w:jc w:val="center"/>
      </w:pPr>
    </w:p>
    <w:p w:rsidR="008936A0" w:rsidRDefault="008936A0" w:rsidP="008936A0">
      <w:pPr>
        <w:tabs>
          <w:tab w:val="left" w:pos="0"/>
        </w:tabs>
        <w:jc w:val="center"/>
      </w:pPr>
    </w:p>
    <w:p w:rsidR="008936A0" w:rsidRDefault="008936A0" w:rsidP="008936A0">
      <w:pPr>
        <w:tabs>
          <w:tab w:val="left" w:pos="0"/>
        </w:tabs>
        <w:jc w:val="center"/>
      </w:pPr>
    </w:p>
    <w:p w:rsidR="008936A0" w:rsidRDefault="008936A0" w:rsidP="008936A0">
      <w:pPr>
        <w:tabs>
          <w:tab w:val="left" w:pos="0"/>
        </w:tabs>
        <w:jc w:val="center"/>
      </w:pPr>
    </w:p>
    <w:p w:rsidR="008936A0" w:rsidRDefault="008936A0" w:rsidP="008936A0">
      <w:pPr>
        <w:tabs>
          <w:tab w:val="left" w:pos="0"/>
        </w:tabs>
        <w:jc w:val="center"/>
      </w:pPr>
    </w:p>
    <w:p w:rsidR="008936A0" w:rsidRDefault="008936A0" w:rsidP="008936A0">
      <w:pPr>
        <w:tabs>
          <w:tab w:val="left" w:pos="0"/>
        </w:tabs>
        <w:jc w:val="center"/>
      </w:pPr>
    </w:p>
    <w:p w:rsidR="008936A0" w:rsidRDefault="008936A0" w:rsidP="008936A0">
      <w:pPr>
        <w:tabs>
          <w:tab w:val="left" w:pos="0"/>
        </w:tabs>
        <w:jc w:val="center"/>
      </w:pPr>
      <w:r>
        <w:t>编制单位：</w:t>
      </w:r>
      <w:r>
        <w:rPr>
          <w:u w:val="single"/>
        </w:rPr>
        <w:t>南银理财有限责任公司</w:t>
      </w:r>
    </w:p>
    <w:p w:rsidR="008936A0" w:rsidRDefault="008936A0" w:rsidP="008936A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936A0" w:rsidRDefault="008936A0" w:rsidP="008936A0">
      <w:pPr>
        <w:adjustRightInd w:val="0"/>
        <w:snapToGrid w:val="0"/>
        <w:spacing w:line="0" w:lineRule="atLeast"/>
        <w:rPr>
          <w:b/>
          <w:bCs/>
        </w:rPr>
      </w:pPr>
      <w:r>
        <w:rPr>
          <w:b/>
          <w:bCs/>
        </w:rPr>
        <w:lastRenderedPageBreak/>
        <w:t>风险提示：</w:t>
      </w:r>
    </w:p>
    <w:p w:rsidR="008936A0" w:rsidRDefault="008936A0" w:rsidP="008936A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936A0" w:rsidRDefault="008936A0" w:rsidP="008936A0">
      <w:pPr>
        <w:tabs>
          <w:tab w:val="left" w:pos="7920"/>
          <w:tab w:val="left" w:pos="8100"/>
        </w:tabs>
        <w:spacing w:line="0" w:lineRule="atLeast"/>
        <w:rPr>
          <w:b/>
          <w:bCs/>
        </w:rPr>
      </w:pPr>
    </w:p>
    <w:p w:rsidR="008936A0" w:rsidRDefault="008936A0" w:rsidP="008936A0">
      <w:pPr>
        <w:spacing w:line="0" w:lineRule="atLeast"/>
        <w:jc w:val="center"/>
        <w:rPr>
          <w:rFonts w:eastAsia="黑体"/>
          <w:b/>
          <w:bCs/>
          <w:sz w:val="24"/>
          <w:szCs w:val="15"/>
        </w:rPr>
      </w:pPr>
    </w:p>
    <w:p w:rsidR="008936A0" w:rsidRDefault="008936A0" w:rsidP="008936A0">
      <w:pPr>
        <w:spacing w:line="0" w:lineRule="atLeast"/>
        <w:jc w:val="center"/>
        <w:rPr>
          <w:rFonts w:eastAsia="黑体"/>
          <w:b/>
          <w:bCs/>
          <w:sz w:val="24"/>
          <w:szCs w:val="15"/>
        </w:rPr>
      </w:pPr>
      <w:r>
        <w:rPr>
          <w:rFonts w:eastAsia="黑体"/>
          <w:b/>
          <w:bCs/>
          <w:sz w:val="24"/>
          <w:szCs w:val="15"/>
        </w:rPr>
        <w:t>理财产品销售协议书</w:t>
      </w:r>
    </w:p>
    <w:p w:rsidR="008936A0" w:rsidRDefault="008936A0" w:rsidP="008936A0">
      <w:pPr>
        <w:spacing w:line="200" w:lineRule="exact"/>
        <w:ind w:firstLineChars="200" w:firstLine="300"/>
        <w:rPr>
          <w:rFonts w:eastAsia="方正细黑一简体"/>
          <w:sz w:val="15"/>
          <w:szCs w:val="15"/>
        </w:rPr>
      </w:pPr>
    </w:p>
    <w:p w:rsidR="008936A0" w:rsidRDefault="008936A0" w:rsidP="008936A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936A0" w:rsidRDefault="008936A0" w:rsidP="008936A0">
      <w:pPr>
        <w:numPr>
          <w:ilvl w:val="0"/>
          <w:numId w:val="6"/>
        </w:numPr>
        <w:spacing w:line="200" w:lineRule="exact"/>
        <w:ind w:firstLineChars="200" w:firstLine="341"/>
        <w:rPr>
          <w:b/>
          <w:bCs/>
          <w:spacing w:val="10"/>
          <w:sz w:val="15"/>
          <w:szCs w:val="15"/>
        </w:rPr>
      </w:pPr>
      <w:r>
        <w:rPr>
          <w:b/>
          <w:bCs/>
          <w:spacing w:val="10"/>
          <w:sz w:val="15"/>
          <w:szCs w:val="15"/>
        </w:rPr>
        <w:t>名词释义</w:t>
      </w:r>
    </w:p>
    <w:p w:rsidR="008936A0" w:rsidRDefault="008936A0" w:rsidP="008936A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936A0" w:rsidRDefault="008936A0" w:rsidP="008936A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936A0" w:rsidRDefault="008936A0" w:rsidP="008936A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936A0" w:rsidRDefault="008936A0" w:rsidP="008936A0">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936A0" w:rsidRDefault="008936A0" w:rsidP="008936A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936A0" w:rsidRDefault="008936A0" w:rsidP="008936A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936A0" w:rsidRDefault="008936A0" w:rsidP="008936A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936A0" w:rsidRDefault="008936A0" w:rsidP="008936A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936A0" w:rsidRDefault="008936A0" w:rsidP="008936A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936A0" w:rsidRDefault="008936A0" w:rsidP="008936A0">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936A0" w:rsidRDefault="008936A0" w:rsidP="008936A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936A0" w:rsidRDefault="008936A0" w:rsidP="008936A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936A0" w:rsidRDefault="008936A0" w:rsidP="008936A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936A0" w:rsidRDefault="008936A0" w:rsidP="008936A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936A0" w:rsidRDefault="008936A0" w:rsidP="008936A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936A0" w:rsidRDefault="008936A0" w:rsidP="008936A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936A0" w:rsidRDefault="008936A0" w:rsidP="008936A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936A0" w:rsidRDefault="008936A0" w:rsidP="008936A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936A0" w:rsidRDefault="008936A0" w:rsidP="008936A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936A0" w:rsidRDefault="008936A0" w:rsidP="008936A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936A0" w:rsidRDefault="008936A0" w:rsidP="008936A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936A0" w:rsidRDefault="008936A0" w:rsidP="008936A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936A0" w:rsidRDefault="008936A0" w:rsidP="008936A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936A0" w:rsidRDefault="008936A0" w:rsidP="008936A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936A0" w:rsidRDefault="008936A0" w:rsidP="008936A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936A0" w:rsidRDefault="008936A0" w:rsidP="008936A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936A0" w:rsidRDefault="008936A0" w:rsidP="008936A0">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936A0" w:rsidRDefault="008936A0" w:rsidP="008936A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936A0" w:rsidRDefault="008936A0" w:rsidP="008936A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936A0" w:rsidRDefault="008936A0" w:rsidP="008936A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936A0" w:rsidRDefault="008936A0" w:rsidP="008936A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936A0" w:rsidRDefault="008936A0" w:rsidP="008936A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936A0" w:rsidRDefault="008936A0" w:rsidP="008936A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936A0" w:rsidRDefault="008936A0" w:rsidP="008936A0">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936A0" w:rsidRDefault="008936A0" w:rsidP="008936A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936A0" w:rsidRDefault="008936A0" w:rsidP="008936A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936A0" w:rsidRDefault="008936A0" w:rsidP="008936A0">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936A0" w:rsidRDefault="008936A0" w:rsidP="008936A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936A0" w:rsidRDefault="008936A0" w:rsidP="008936A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936A0" w:rsidRDefault="008936A0" w:rsidP="008936A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936A0" w:rsidRDefault="008936A0" w:rsidP="008936A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936A0" w:rsidRDefault="008936A0" w:rsidP="008936A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936A0" w:rsidRDefault="008936A0" w:rsidP="008936A0">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936A0" w:rsidRDefault="008936A0" w:rsidP="008936A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936A0" w:rsidRDefault="008936A0" w:rsidP="008936A0">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936A0" w:rsidRDefault="008936A0" w:rsidP="008936A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936A0" w:rsidRDefault="008936A0" w:rsidP="008936A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936A0" w:rsidRDefault="008936A0" w:rsidP="008936A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936A0" w:rsidRDefault="008936A0" w:rsidP="008936A0">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936A0" w:rsidRDefault="008936A0" w:rsidP="008936A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936A0" w:rsidRDefault="008936A0" w:rsidP="008936A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936A0" w:rsidRDefault="008936A0" w:rsidP="008936A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936A0" w:rsidRDefault="008936A0" w:rsidP="008936A0">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936A0" w:rsidRDefault="008936A0" w:rsidP="008936A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936A0" w:rsidRDefault="008936A0" w:rsidP="008936A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936A0" w:rsidRDefault="008936A0" w:rsidP="008936A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936A0" w:rsidRDefault="008936A0" w:rsidP="008936A0">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936A0" w:rsidRDefault="008936A0" w:rsidP="008936A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936A0" w:rsidRDefault="008936A0" w:rsidP="008936A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936A0" w:rsidRDefault="008936A0" w:rsidP="008936A0">
      <w:pPr>
        <w:spacing w:line="200" w:lineRule="exact"/>
        <w:ind w:firstLineChars="200" w:firstLine="341"/>
        <w:rPr>
          <w:b/>
          <w:spacing w:val="10"/>
          <w:sz w:val="15"/>
          <w:szCs w:val="15"/>
        </w:rPr>
      </w:pPr>
      <w:r>
        <w:rPr>
          <w:rFonts w:hint="eastAsia"/>
          <w:b/>
          <w:spacing w:val="10"/>
          <w:sz w:val="15"/>
          <w:szCs w:val="15"/>
        </w:rPr>
        <w:t xml:space="preserve">7.产品资产的清算 </w:t>
      </w:r>
    </w:p>
    <w:p w:rsidR="008936A0" w:rsidRDefault="008936A0" w:rsidP="008936A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936A0" w:rsidRDefault="008936A0" w:rsidP="008936A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936A0" w:rsidRDefault="008936A0" w:rsidP="008936A0">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936A0" w:rsidRDefault="008936A0" w:rsidP="008936A0">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936A0" w:rsidRDefault="008936A0" w:rsidP="008936A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936A0" w:rsidRDefault="008936A0" w:rsidP="008936A0">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936A0" w:rsidRPr="00996FE5" w:rsidRDefault="008936A0" w:rsidP="008936A0">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936A0" w:rsidRPr="00996FE5" w:rsidRDefault="008936A0" w:rsidP="008936A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936A0" w:rsidRPr="00996FE5" w:rsidRDefault="008936A0" w:rsidP="008936A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936A0" w:rsidRPr="00996FE5" w:rsidRDefault="008936A0" w:rsidP="008936A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936A0" w:rsidRPr="00996FE5" w:rsidRDefault="008936A0" w:rsidP="008936A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936A0" w:rsidRDefault="008936A0" w:rsidP="008936A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936A0" w:rsidRDefault="008936A0" w:rsidP="008936A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936A0" w:rsidRDefault="008936A0" w:rsidP="008936A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936A0" w:rsidRDefault="008936A0" w:rsidP="008936A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936A0" w:rsidRDefault="008936A0" w:rsidP="008936A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936A0" w:rsidRDefault="008936A0" w:rsidP="008936A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936A0" w:rsidRDefault="008936A0" w:rsidP="008936A0">
      <w:pPr>
        <w:numPr>
          <w:ilvl w:val="0"/>
          <w:numId w:val="12"/>
        </w:numPr>
        <w:spacing w:line="200" w:lineRule="exact"/>
        <w:ind w:firstLineChars="200" w:firstLine="340"/>
        <w:rPr>
          <w:spacing w:val="10"/>
          <w:sz w:val="15"/>
          <w:szCs w:val="15"/>
        </w:rPr>
      </w:pPr>
      <w:r>
        <w:rPr>
          <w:bCs/>
          <w:spacing w:val="10"/>
          <w:sz w:val="15"/>
          <w:szCs w:val="15"/>
        </w:rPr>
        <w:t>弃权</w:t>
      </w:r>
    </w:p>
    <w:p w:rsidR="008936A0" w:rsidRDefault="008936A0" w:rsidP="008936A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936A0" w:rsidRDefault="008936A0" w:rsidP="008936A0">
      <w:pPr>
        <w:numPr>
          <w:ilvl w:val="0"/>
          <w:numId w:val="12"/>
        </w:numPr>
        <w:spacing w:line="200" w:lineRule="exact"/>
        <w:ind w:firstLineChars="200" w:firstLine="340"/>
        <w:rPr>
          <w:spacing w:val="10"/>
          <w:sz w:val="15"/>
          <w:szCs w:val="15"/>
        </w:rPr>
      </w:pPr>
      <w:r>
        <w:rPr>
          <w:spacing w:val="10"/>
          <w:sz w:val="15"/>
          <w:szCs w:val="15"/>
        </w:rPr>
        <w:t>可分割性</w:t>
      </w:r>
    </w:p>
    <w:p w:rsidR="008936A0" w:rsidRDefault="008936A0" w:rsidP="008936A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936A0" w:rsidRDefault="008936A0" w:rsidP="008936A0">
      <w:pPr>
        <w:numPr>
          <w:ilvl w:val="0"/>
          <w:numId w:val="12"/>
        </w:numPr>
        <w:spacing w:line="200" w:lineRule="exact"/>
        <w:ind w:firstLineChars="200" w:firstLine="340"/>
        <w:rPr>
          <w:spacing w:val="10"/>
          <w:sz w:val="15"/>
          <w:szCs w:val="15"/>
        </w:rPr>
      </w:pPr>
      <w:r>
        <w:rPr>
          <w:spacing w:val="10"/>
          <w:sz w:val="15"/>
          <w:szCs w:val="15"/>
        </w:rPr>
        <w:t>税收条款</w:t>
      </w:r>
    </w:p>
    <w:p w:rsidR="008936A0" w:rsidRDefault="008936A0" w:rsidP="008936A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936A0" w:rsidRDefault="008936A0" w:rsidP="008936A0">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936A0" w:rsidRDefault="008936A0" w:rsidP="008936A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936A0" w:rsidRDefault="008936A0" w:rsidP="008936A0">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936A0" w:rsidRDefault="008936A0" w:rsidP="008936A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936A0" w:rsidRDefault="008936A0" w:rsidP="008936A0">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936A0" w:rsidRDefault="008936A0" w:rsidP="008936A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936A0" w:rsidRDefault="008936A0" w:rsidP="008936A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936A0" w:rsidRDefault="008936A0" w:rsidP="008936A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936A0" w:rsidRDefault="008936A0" w:rsidP="008936A0">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936A0" w:rsidRDefault="008936A0" w:rsidP="008936A0">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936A0" w:rsidRDefault="008936A0" w:rsidP="008936A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936A0" w:rsidRDefault="008936A0" w:rsidP="008936A0">
      <w:pPr>
        <w:spacing w:line="200" w:lineRule="exact"/>
        <w:ind w:firstLineChars="200" w:firstLine="340"/>
        <w:rPr>
          <w:spacing w:val="10"/>
          <w:sz w:val="15"/>
          <w:szCs w:val="15"/>
        </w:rPr>
      </w:pPr>
    </w:p>
    <w:p w:rsidR="008936A0" w:rsidRDefault="008936A0" w:rsidP="008936A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936A0" w:rsidTr="00CD006E">
        <w:trPr>
          <w:jc w:val="center"/>
        </w:trPr>
        <w:tc>
          <w:tcPr>
            <w:tcW w:w="4812" w:type="dxa"/>
          </w:tcPr>
          <w:p w:rsidR="008936A0" w:rsidRDefault="008936A0" w:rsidP="00CD006E">
            <w:pPr>
              <w:spacing w:line="200" w:lineRule="exact"/>
              <w:rPr>
                <w:spacing w:val="10"/>
                <w:sz w:val="15"/>
                <w:szCs w:val="15"/>
              </w:rPr>
            </w:pPr>
            <w:r>
              <w:rPr>
                <w:spacing w:val="10"/>
                <w:sz w:val="15"/>
                <w:szCs w:val="15"/>
              </w:rPr>
              <w:t>个人投资者（如适用）：</w:t>
            </w:r>
          </w:p>
        </w:tc>
        <w:tc>
          <w:tcPr>
            <w:tcW w:w="4713" w:type="dxa"/>
          </w:tcPr>
          <w:p w:rsidR="008936A0" w:rsidRDefault="008936A0" w:rsidP="00CD006E">
            <w:pPr>
              <w:spacing w:line="200" w:lineRule="exact"/>
              <w:rPr>
                <w:spacing w:val="10"/>
                <w:sz w:val="15"/>
                <w:szCs w:val="15"/>
              </w:rPr>
            </w:pPr>
            <w:r>
              <w:rPr>
                <w:spacing w:val="10"/>
                <w:sz w:val="15"/>
                <w:szCs w:val="15"/>
              </w:rPr>
              <w:t>机构投资者（如适用）：</w:t>
            </w:r>
          </w:p>
        </w:tc>
      </w:tr>
      <w:tr w:rsidR="008936A0" w:rsidTr="00CD006E">
        <w:trPr>
          <w:jc w:val="center"/>
        </w:trPr>
        <w:tc>
          <w:tcPr>
            <w:tcW w:w="4812" w:type="dxa"/>
          </w:tcPr>
          <w:p w:rsidR="008936A0" w:rsidRDefault="008936A0" w:rsidP="00CD006E">
            <w:pPr>
              <w:spacing w:line="200" w:lineRule="exact"/>
              <w:ind w:firstLineChars="200" w:firstLine="340"/>
              <w:rPr>
                <w:spacing w:val="10"/>
                <w:sz w:val="15"/>
                <w:szCs w:val="15"/>
              </w:rPr>
            </w:pPr>
          </w:p>
          <w:p w:rsidR="008936A0" w:rsidRDefault="008936A0" w:rsidP="00CD006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936A0" w:rsidRDefault="008936A0" w:rsidP="00CD006E">
            <w:pPr>
              <w:spacing w:line="200" w:lineRule="exact"/>
              <w:ind w:firstLineChars="400" w:firstLine="680"/>
              <w:rPr>
                <w:spacing w:val="10"/>
                <w:sz w:val="15"/>
                <w:szCs w:val="15"/>
              </w:rPr>
            </w:pPr>
          </w:p>
          <w:p w:rsidR="008936A0" w:rsidRDefault="008936A0" w:rsidP="00CD006E">
            <w:pPr>
              <w:spacing w:line="200" w:lineRule="exact"/>
              <w:ind w:firstLineChars="500" w:firstLine="850"/>
              <w:rPr>
                <w:spacing w:val="10"/>
                <w:sz w:val="15"/>
                <w:szCs w:val="15"/>
              </w:rPr>
            </w:pPr>
          </w:p>
          <w:p w:rsidR="008936A0" w:rsidRDefault="008936A0" w:rsidP="00CD006E">
            <w:pPr>
              <w:spacing w:line="200" w:lineRule="exact"/>
              <w:ind w:firstLineChars="500" w:firstLine="850"/>
              <w:rPr>
                <w:spacing w:val="10"/>
                <w:sz w:val="15"/>
                <w:szCs w:val="15"/>
              </w:rPr>
            </w:pPr>
            <w:r>
              <w:rPr>
                <w:spacing w:val="10"/>
                <w:sz w:val="15"/>
                <w:szCs w:val="15"/>
              </w:rPr>
              <w:t>年月日</w:t>
            </w:r>
          </w:p>
        </w:tc>
        <w:tc>
          <w:tcPr>
            <w:tcW w:w="4713" w:type="dxa"/>
          </w:tcPr>
          <w:p w:rsidR="008936A0" w:rsidRDefault="008936A0" w:rsidP="00CD006E">
            <w:pPr>
              <w:spacing w:line="200" w:lineRule="exact"/>
              <w:ind w:firstLineChars="200" w:firstLine="340"/>
              <w:rPr>
                <w:spacing w:val="10"/>
                <w:sz w:val="15"/>
                <w:szCs w:val="15"/>
              </w:rPr>
            </w:pPr>
          </w:p>
          <w:p w:rsidR="008936A0" w:rsidRDefault="008936A0" w:rsidP="00CD006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936A0" w:rsidRDefault="008936A0" w:rsidP="00CD006E">
            <w:pPr>
              <w:spacing w:line="200" w:lineRule="exact"/>
              <w:rPr>
                <w:spacing w:val="10"/>
                <w:sz w:val="15"/>
                <w:szCs w:val="15"/>
              </w:rPr>
            </w:pPr>
          </w:p>
          <w:p w:rsidR="008936A0" w:rsidRDefault="008936A0" w:rsidP="00CD006E">
            <w:pPr>
              <w:spacing w:line="200" w:lineRule="exact"/>
              <w:rPr>
                <w:spacing w:val="10"/>
                <w:sz w:val="15"/>
                <w:szCs w:val="15"/>
              </w:rPr>
            </w:pPr>
          </w:p>
          <w:p w:rsidR="008936A0" w:rsidRDefault="008936A0" w:rsidP="00CD006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936A0" w:rsidRDefault="008936A0" w:rsidP="00CD006E">
            <w:pPr>
              <w:spacing w:line="200" w:lineRule="exact"/>
              <w:ind w:firstLineChars="400" w:firstLine="680"/>
              <w:rPr>
                <w:spacing w:val="10"/>
                <w:sz w:val="15"/>
                <w:szCs w:val="15"/>
              </w:rPr>
            </w:pPr>
          </w:p>
          <w:p w:rsidR="008936A0" w:rsidRDefault="008936A0" w:rsidP="00CD006E">
            <w:pPr>
              <w:spacing w:line="200" w:lineRule="exact"/>
              <w:ind w:firstLineChars="400" w:firstLine="680"/>
              <w:rPr>
                <w:spacing w:val="10"/>
                <w:sz w:val="15"/>
                <w:szCs w:val="15"/>
              </w:rPr>
            </w:pPr>
            <w:r>
              <w:rPr>
                <w:spacing w:val="10"/>
                <w:sz w:val="15"/>
                <w:szCs w:val="15"/>
              </w:rPr>
              <w:t>年月日</w:t>
            </w:r>
          </w:p>
        </w:tc>
      </w:tr>
    </w:tbl>
    <w:p w:rsidR="008936A0" w:rsidRDefault="008936A0" w:rsidP="008936A0">
      <w:pPr>
        <w:spacing w:line="200" w:lineRule="exact"/>
        <w:rPr>
          <w:spacing w:val="10"/>
          <w:sz w:val="15"/>
          <w:szCs w:val="15"/>
        </w:rPr>
      </w:pPr>
    </w:p>
    <w:p w:rsidR="008936A0" w:rsidRDefault="008936A0" w:rsidP="008936A0">
      <w:pPr>
        <w:pStyle w:val="12"/>
        <w:spacing w:line="360" w:lineRule="auto"/>
        <w:ind w:firstLineChars="0" w:firstLine="0"/>
        <w:jc w:val="center"/>
        <w:sectPr w:rsidR="008936A0">
          <w:headerReference w:type="default" r:id="rId7"/>
          <w:footerReference w:type="default" r:id="rId8"/>
          <w:pgSz w:w="11906" w:h="16838"/>
          <w:pgMar w:top="720" w:right="720" w:bottom="720" w:left="720" w:header="851" w:footer="992" w:gutter="0"/>
          <w:cols w:space="720"/>
          <w:docGrid w:type="lines" w:linePitch="312"/>
        </w:sectPr>
      </w:pPr>
    </w:p>
    <w:p w:rsidR="008936A0" w:rsidRDefault="008936A0" w:rsidP="008936A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936A0" w:rsidRDefault="008936A0" w:rsidP="008936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936A0" w:rsidRDefault="008936A0" w:rsidP="008936A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936A0" w:rsidRPr="002C6027" w:rsidRDefault="008936A0" w:rsidP="008936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936A0" w:rsidRDefault="008936A0" w:rsidP="008936A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936A0" w:rsidRDefault="008936A0" w:rsidP="008936A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936A0" w:rsidRDefault="008936A0" w:rsidP="008936A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936A0" w:rsidRDefault="008936A0" w:rsidP="008936A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936A0" w:rsidRDefault="008936A0" w:rsidP="008936A0">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936A0" w:rsidRDefault="008936A0" w:rsidP="008936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936A0" w:rsidRDefault="008936A0" w:rsidP="008936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936A0" w:rsidRDefault="008936A0" w:rsidP="008936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936A0" w:rsidRDefault="008936A0" w:rsidP="008936A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936A0" w:rsidRDefault="008936A0" w:rsidP="008936A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936A0" w:rsidRDefault="008936A0" w:rsidP="008936A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936A0" w:rsidRDefault="008936A0" w:rsidP="008936A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936A0" w:rsidRDefault="008936A0" w:rsidP="008936A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936A0" w:rsidRDefault="008936A0" w:rsidP="008936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936A0" w:rsidRDefault="008936A0" w:rsidP="008936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936A0" w:rsidRDefault="008936A0" w:rsidP="008936A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936A0" w:rsidRDefault="008936A0" w:rsidP="008936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936A0" w:rsidRDefault="008936A0" w:rsidP="008936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936A0" w:rsidRDefault="008936A0" w:rsidP="008936A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936A0" w:rsidRDefault="008936A0" w:rsidP="008936A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936A0" w:rsidRPr="00832DA9" w:rsidRDefault="008936A0" w:rsidP="008936A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936A0" w:rsidRPr="00832DA9" w:rsidRDefault="008936A0" w:rsidP="008936A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936A0" w:rsidRPr="00832DA9" w:rsidRDefault="008936A0" w:rsidP="008936A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936A0" w:rsidRPr="00832DA9" w:rsidRDefault="008936A0" w:rsidP="008936A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936A0" w:rsidRPr="00832DA9" w:rsidRDefault="008936A0" w:rsidP="008936A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936A0" w:rsidRDefault="008936A0" w:rsidP="008936A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936A0" w:rsidRDefault="008936A0" w:rsidP="008936A0">
      <w:pPr>
        <w:pStyle w:val="12"/>
        <w:spacing w:line="360" w:lineRule="auto"/>
        <w:ind w:firstLine="400"/>
        <w:rPr>
          <w:rFonts w:ascii="宋体" w:hAnsi="宋体" w:cs="宋体"/>
          <w:sz w:val="20"/>
          <w:szCs w:val="21"/>
        </w:rPr>
      </w:pPr>
    </w:p>
    <w:p w:rsidR="008936A0" w:rsidRDefault="008936A0" w:rsidP="008936A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936A0" w:rsidRDefault="008936A0" w:rsidP="008936A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936A0" w:rsidRDefault="008936A0" w:rsidP="008936A0">
      <w:pPr>
        <w:pStyle w:val="12"/>
        <w:spacing w:line="360" w:lineRule="auto"/>
        <w:ind w:firstLine="400"/>
        <w:rPr>
          <w:rFonts w:ascii="宋体" w:hAnsi="宋体" w:cs="宋体"/>
          <w:sz w:val="20"/>
          <w:szCs w:val="21"/>
        </w:rPr>
      </w:pPr>
    </w:p>
    <w:p w:rsidR="008936A0" w:rsidRDefault="008936A0" w:rsidP="008936A0">
      <w:pPr>
        <w:spacing w:line="360" w:lineRule="auto"/>
        <w:rPr>
          <w:rStyle w:val="fontstyle01"/>
          <w:rFonts w:hint="default"/>
          <w:sz w:val="20"/>
        </w:rPr>
      </w:pPr>
      <w:r>
        <w:rPr>
          <w:rStyle w:val="fontstyle01"/>
          <w:rFonts w:hint="default"/>
          <w:sz w:val="20"/>
        </w:rPr>
        <w:t>个人投资者（如适用）：                   机构投资者（如适用）：</w:t>
      </w:r>
    </w:p>
    <w:p w:rsidR="008936A0" w:rsidRDefault="008936A0" w:rsidP="008936A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936A0" w:rsidRDefault="008936A0" w:rsidP="008936A0">
      <w:pPr>
        <w:spacing w:line="360" w:lineRule="auto"/>
        <w:rPr>
          <w:rStyle w:val="fontstyle01"/>
          <w:rFonts w:hint="default"/>
          <w:sz w:val="20"/>
        </w:rPr>
      </w:pPr>
      <w:r>
        <w:rPr>
          <w:rStyle w:val="fontstyle01"/>
          <w:rFonts w:hint="default"/>
          <w:sz w:val="20"/>
        </w:rPr>
        <w:t xml:space="preserve">   年  月  日                           法定代表人或授权代理人：（签名或盖章）</w:t>
      </w:r>
    </w:p>
    <w:p w:rsidR="008936A0" w:rsidRDefault="008936A0" w:rsidP="008936A0">
      <w:pPr>
        <w:widowControl/>
        <w:jc w:val="left"/>
      </w:pPr>
      <w:r>
        <w:rPr>
          <w:rStyle w:val="fontstyle01"/>
          <w:rFonts w:hint="default"/>
          <w:sz w:val="20"/>
        </w:rPr>
        <w:t xml:space="preserve">                                            年    月   日</w:t>
      </w:r>
    </w:p>
    <w:p w:rsidR="008936A0" w:rsidRDefault="008936A0" w:rsidP="008936A0">
      <w:pPr>
        <w:pStyle w:val="a8"/>
        <w:ind w:firstLineChars="0" w:firstLine="0"/>
        <w:rPr>
          <w:b/>
          <w:kern w:val="0"/>
          <w:sz w:val="15"/>
          <w:szCs w:val="11"/>
        </w:rPr>
      </w:pPr>
    </w:p>
    <w:p w:rsidR="008936A0" w:rsidRDefault="008936A0" w:rsidP="008936A0">
      <w:pPr>
        <w:pStyle w:val="a8"/>
        <w:ind w:firstLine="301"/>
        <w:rPr>
          <w:rFonts w:ascii="宋体"/>
          <w:b/>
          <w:bCs/>
          <w:color w:val="3D3D3D"/>
          <w:kern w:val="0"/>
          <w:sz w:val="15"/>
          <w:szCs w:val="15"/>
        </w:rPr>
      </w:pPr>
    </w:p>
    <w:p w:rsidR="008936A0" w:rsidRDefault="008936A0" w:rsidP="008936A0">
      <w:pPr>
        <w:pStyle w:val="a8"/>
        <w:ind w:firstLine="301"/>
        <w:rPr>
          <w:rFonts w:ascii="宋体"/>
          <w:b/>
          <w:bCs/>
          <w:color w:val="3D3D3D"/>
          <w:kern w:val="0"/>
          <w:sz w:val="15"/>
          <w:szCs w:val="15"/>
        </w:rPr>
      </w:pPr>
    </w:p>
    <w:p w:rsidR="008936A0" w:rsidRPr="008936A0" w:rsidRDefault="008936A0" w:rsidP="008936A0">
      <w:pPr>
        <w:rPr>
          <w:rFonts w:hint="eastAsia"/>
        </w:rPr>
      </w:pPr>
      <w:bookmarkStart w:id="0" w:name="_GoBack"/>
      <w:bookmarkEnd w:id="0"/>
    </w:p>
    <w:sectPr w:rsidR="008936A0" w:rsidRPr="008936A0">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30" w:rsidRDefault="009D1C30">
      <w:r>
        <w:separator/>
      </w:r>
    </w:p>
  </w:endnote>
  <w:endnote w:type="continuationSeparator" w:id="0">
    <w:p w:rsidR="009D1C30" w:rsidRDefault="009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A0" w:rsidRDefault="008936A0">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30" w:rsidRDefault="009D1C30">
      <w:r>
        <w:separator/>
      </w:r>
    </w:p>
  </w:footnote>
  <w:footnote w:type="continuationSeparator" w:id="0">
    <w:p w:rsidR="009D1C30" w:rsidRDefault="009D1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A0" w:rsidRDefault="008936A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67" w:rsidRDefault="009D1C3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6734"/>
    <w:multiLevelType w:val="hybridMultilevel"/>
    <w:tmpl w:val="1844289A"/>
    <w:lvl w:ilvl="0" w:tplc="1F901E5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7CCF0AA">
      <w:start w:val="1"/>
      <w:numFmt w:val="lowerLetter"/>
      <w:lvlText w:val="%2)"/>
      <w:lvlJc w:val="left"/>
      <w:pPr>
        <w:tabs>
          <w:tab w:val="num" w:pos="0"/>
        </w:tabs>
        <w:ind w:left="1141" w:hanging="420"/>
      </w:pPr>
      <w:rPr>
        <w:rFonts w:ascii="方正黑体_GBK" w:eastAsia="方正黑体_GBK" w:hAnsi="方正黑体_GBK" w:hint="default"/>
      </w:rPr>
    </w:lvl>
    <w:lvl w:ilvl="2" w:tplc="46B05F9C">
      <w:start w:val="1"/>
      <w:numFmt w:val="decimal"/>
      <w:lvlText w:val="%3."/>
      <w:lvlJc w:val="right"/>
      <w:pPr>
        <w:tabs>
          <w:tab w:val="num" w:pos="0"/>
        </w:tabs>
        <w:ind w:left="1561" w:hanging="420"/>
      </w:pPr>
      <w:rPr>
        <w:rFonts w:ascii="方正黑体_GBK" w:eastAsia="方正黑体_GBK" w:hAnsi="方正黑体_GBK" w:hint="default"/>
      </w:rPr>
    </w:lvl>
    <w:lvl w:ilvl="3" w:tplc="5D18CE14">
      <w:start w:val="1"/>
      <w:numFmt w:val="decimal"/>
      <w:lvlText w:val="%4."/>
      <w:lvlJc w:val="left"/>
      <w:pPr>
        <w:tabs>
          <w:tab w:val="num" w:pos="0"/>
        </w:tabs>
        <w:ind w:left="1981" w:hanging="420"/>
      </w:pPr>
      <w:rPr>
        <w:rFonts w:ascii="方正黑体_GBK" w:eastAsia="方正黑体_GBK" w:hAnsi="方正黑体_GBK" w:hint="default"/>
      </w:rPr>
    </w:lvl>
    <w:lvl w:ilvl="4" w:tplc="60F4C56E">
      <w:start w:val="1"/>
      <w:numFmt w:val="lowerLetter"/>
      <w:lvlText w:val="%5)"/>
      <w:lvlJc w:val="left"/>
      <w:pPr>
        <w:tabs>
          <w:tab w:val="num" w:pos="0"/>
        </w:tabs>
        <w:ind w:left="2401" w:hanging="420"/>
      </w:pPr>
      <w:rPr>
        <w:rFonts w:ascii="方正黑体_GBK" w:eastAsia="方正黑体_GBK" w:hAnsi="方正黑体_GBK" w:hint="default"/>
      </w:rPr>
    </w:lvl>
    <w:lvl w:ilvl="5" w:tplc="913878EE">
      <w:start w:val="1"/>
      <w:numFmt w:val="decimal"/>
      <w:lvlText w:val="%6."/>
      <w:lvlJc w:val="right"/>
      <w:pPr>
        <w:tabs>
          <w:tab w:val="num" w:pos="0"/>
        </w:tabs>
        <w:ind w:left="2821" w:hanging="420"/>
      </w:pPr>
      <w:rPr>
        <w:rFonts w:ascii="方正黑体_GBK" w:eastAsia="方正黑体_GBK" w:hAnsi="方正黑体_GBK" w:hint="default"/>
      </w:rPr>
    </w:lvl>
    <w:lvl w:ilvl="6" w:tplc="B37058F4">
      <w:start w:val="1"/>
      <w:numFmt w:val="decimal"/>
      <w:lvlText w:val="%7."/>
      <w:lvlJc w:val="left"/>
      <w:pPr>
        <w:tabs>
          <w:tab w:val="num" w:pos="0"/>
        </w:tabs>
        <w:ind w:left="3241" w:hanging="420"/>
      </w:pPr>
      <w:rPr>
        <w:rFonts w:ascii="方正黑体_GBK" w:eastAsia="方正黑体_GBK" w:hAnsi="方正黑体_GBK" w:hint="default"/>
      </w:rPr>
    </w:lvl>
    <w:lvl w:ilvl="7" w:tplc="E6586748">
      <w:start w:val="1"/>
      <w:numFmt w:val="lowerLetter"/>
      <w:lvlText w:val="%8)"/>
      <w:lvlJc w:val="left"/>
      <w:pPr>
        <w:tabs>
          <w:tab w:val="num" w:pos="0"/>
        </w:tabs>
        <w:ind w:left="3661" w:hanging="420"/>
      </w:pPr>
      <w:rPr>
        <w:rFonts w:ascii="方正黑体_GBK" w:eastAsia="方正黑体_GBK" w:hAnsi="方正黑体_GBK" w:hint="default"/>
      </w:rPr>
    </w:lvl>
    <w:lvl w:ilvl="8" w:tplc="976EE2B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83E1941"/>
    <w:multiLevelType w:val="multilevel"/>
    <w:tmpl w:val="FAF2E15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A534BF9"/>
    <w:multiLevelType w:val="multilevel"/>
    <w:tmpl w:val="B50072B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78C06AF"/>
    <w:multiLevelType w:val="hybridMultilevel"/>
    <w:tmpl w:val="1A0CA202"/>
    <w:lvl w:ilvl="0" w:tplc="A8AC4FB0">
      <w:start w:val="1"/>
      <w:numFmt w:val="decimal"/>
      <w:lvlRestart w:val="0"/>
      <w:lvlText w:val="%1."/>
      <w:lvlJc w:val="left"/>
      <w:pPr>
        <w:tabs>
          <w:tab w:val="num" w:pos="0"/>
        </w:tabs>
        <w:ind w:left="660" w:hanging="360"/>
      </w:pPr>
      <w:rPr>
        <w:rFonts w:ascii="方正黑体_GBK" w:eastAsia="方正黑体_GBK" w:hAnsi="方正黑体_GBK" w:hint="default"/>
      </w:rPr>
    </w:lvl>
    <w:lvl w:ilvl="1" w:tplc="7F927510">
      <w:start w:val="1"/>
      <w:numFmt w:val="lowerLetter"/>
      <w:lvlText w:val="%2)"/>
      <w:lvlJc w:val="left"/>
      <w:pPr>
        <w:tabs>
          <w:tab w:val="num" w:pos="0"/>
        </w:tabs>
        <w:ind w:left="1140" w:hanging="420"/>
      </w:pPr>
      <w:rPr>
        <w:rFonts w:ascii="方正黑体_GBK" w:eastAsia="方正黑体_GBK" w:hAnsi="方正黑体_GBK" w:hint="default"/>
      </w:rPr>
    </w:lvl>
    <w:lvl w:ilvl="2" w:tplc="83B65D88">
      <w:start w:val="1"/>
      <w:numFmt w:val="decimal"/>
      <w:lvlText w:val="%3."/>
      <w:lvlJc w:val="right"/>
      <w:pPr>
        <w:tabs>
          <w:tab w:val="num" w:pos="0"/>
        </w:tabs>
        <w:ind w:left="1560" w:hanging="420"/>
      </w:pPr>
      <w:rPr>
        <w:rFonts w:ascii="方正黑体_GBK" w:eastAsia="方正黑体_GBK" w:hAnsi="方正黑体_GBK" w:hint="default"/>
      </w:rPr>
    </w:lvl>
    <w:lvl w:ilvl="3" w:tplc="8A4CFF3C">
      <w:start w:val="1"/>
      <w:numFmt w:val="decimal"/>
      <w:lvlText w:val="%4."/>
      <w:lvlJc w:val="left"/>
      <w:pPr>
        <w:tabs>
          <w:tab w:val="num" w:pos="0"/>
        </w:tabs>
        <w:ind w:left="1980" w:hanging="420"/>
      </w:pPr>
      <w:rPr>
        <w:rFonts w:ascii="方正黑体_GBK" w:eastAsia="方正黑体_GBK" w:hAnsi="方正黑体_GBK" w:hint="default"/>
      </w:rPr>
    </w:lvl>
    <w:lvl w:ilvl="4" w:tplc="5CC2D706">
      <w:start w:val="1"/>
      <w:numFmt w:val="lowerLetter"/>
      <w:lvlText w:val="%5)"/>
      <w:lvlJc w:val="left"/>
      <w:pPr>
        <w:tabs>
          <w:tab w:val="num" w:pos="0"/>
        </w:tabs>
        <w:ind w:left="2400" w:hanging="420"/>
      </w:pPr>
      <w:rPr>
        <w:rFonts w:ascii="方正黑体_GBK" w:eastAsia="方正黑体_GBK" w:hAnsi="方正黑体_GBK" w:hint="default"/>
      </w:rPr>
    </w:lvl>
    <w:lvl w:ilvl="5" w:tplc="A17CBFD8">
      <w:start w:val="1"/>
      <w:numFmt w:val="decimal"/>
      <w:lvlText w:val="%6."/>
      <w:lvlJc w:val="right"/>
      <w:pPr>
        <w:tabs>
          <w:tab w:val="num" w:pos="0"/>
        </w:tabs>
        <w:ind w:left="2820" w:hanging="420"/>
      </w:pPr>
      <w:rPr>
        <w:rFonts w:ascii="方正黑体_GBK" w:eastAsia="方正黑体_GBK" w:hAnsi="方正黑体_GBK" w:hint="default"/>
      </w:rPr>
    </w:lvl>
    <w:lvl w:ilvl="6" w:tplc="7374A096">
      <w:start w:val="1"/>
      <w:numFmt w:val="decimal"/>
      <w:lvlText w:val="%7."/>
      <w:lvlJc w:val="left"/>
      <w:pPr>
        <w:tabs>
          <w:tab w:val="num" w:pos="0"/>
        </w:tabs>
        <w:ind w:left="3240" w:hanging="420"/>
      </w:pPr>
      <w:rPr>
        <w:rFonts w:ascii="方正黑体_GBK" w:eastAsia="方正黑体_GBK" w:hAnsi="方正黑体_GBK" w:hint="default"/>
      </w:rPr>
    </w:lvl>
    <w:lvl w:ilvl="7" w:tplc="033C9784">
      <w:start w:val="1"/>
      <w:numFmt w:val="lowerLetter"/>
      <w:lvlText w:val="%8)"/>
      <w:lvlJc w:val="left"/>
      <w:pPr>
        <w:tabs>
          <w:tab w:val="num" w:pos="0"/>
        </w:tabs>
        <w:ind w:left="3660" w:hanging="420"/>
      </w:pPr>
      <w:rPr>
        <w:rFonts w:ascii="方正黑体_GBK" w:eastAsia="方正黑体_GBK" w:hAnsi="方正黑体_GBK" w:hint="default"/>
      </w:rPr>
    </w:lvl>
    <w:lvl w:ilvl="8" w:tplc="4196949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
  </w:num>
  <w:num w:numId="2">
    <w:abstractNumId w:val="4"/>
  </w:num>
  <w:num w:numId="3">
    <w:abstractNumId w:val="0"/>
  </w:num>
  <w:num w:numId="4">
    <w:abstractNumId w:val="13"/>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11C67"/>
    <w:rsid w:val="00111C67"/>
    <w:rsid w:val="008936A0"/>
    <w:rsid w:val="009D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5BC1B"/>
  <w15:docId w15:val="{1CDA7867-EA99-4E00-8CD2-FB8436DE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5540f79">
    <w:name w:val="Normala5540f79"/>
    <w:pPr>
      <w:widowControl w:val="0"/>
      <w:jc w:val="both"/>
    </w:pPr>
    <w:rPr>
      <w:rFonts w:ascii="方正黑体_GBK" w:eastAsia="方正黑体_GBK" w:hAnsi="方正黑体_GBK" w:cs="Times New Roman"/>
      <w:szCs w:val="21"/>
    </w:rPr>
  </w:style>
  <w:style w:type="paragraph" w:customStyle="1" w:styleId="heading10c4e381d">
    <w:name w:val="heading 10c4e381d"/>
    <w:basedOn w:val="Normala5540f79"/>
    <w:next w:val="a"/>
    <w:pPr>
      <w:keepNext/>
      <w:keepLines/>
      <w:spacing w:before="340" w:after="330" w:line="578" w:lineRule="auto"/>
      <w:outlineLvl w:val="0"/>
    </w:pPr>
    <w:rPr>
      <w:b/>
      <w:bCs/>
      <w:kern w:val="44"/>
      <w:sz w:val="44"/>
    </w:rPr>
  </w:style>
  <w:style w:type="paragraph" w:customStyle="1" w:styleId="heading26d9f9630">
    <w:name w:val="heading 26d9f9630"/>
    <w:basedOn w:val="Normala5540f79"/>
    <w:next w:val="a"/>
    <w:pPr>
      <w:keepNext/>
      <w:keepLines/>
      <w:spacing w:before="260" w:after="260" w:line="415" w:lineRule="auto"/>
      <w:outlineLvl w:val="1"/>
    </w:pPr>
    <w:rPr>
      <w:b/>
      <w:sz w:val="32"/>
    </w:rPr>
  </w:style>
  <w:style w:type="paragraph" w:customStyle="1" w:styleId="heading3c6594613">
    <w:name w:val="heading 3c6594613"/>
    <w:basedOn w:val="Normala5540f79"/>
    <w:next w:val="a"/>
    <w:pPr>
      <w:keepNext/>
      <w:keepLines/>
      <w:spacing w:before="260" w:after="260" w:line="415" w:lineRule="auto"/>
      <w:outlineLvl w:val="2"/>
    </w:pPr>
    <w:rPr>
      <w:b/>
      <w:sz w:val="32"/>
    </w:rPr>
  </w:style>
  <w:style w:type="character" w:customStyle="1" w:styleId="DefaultParagraphFont0c13d7e0">
    <w:name w:val="Default Paragraph Font0c13d7e0"/>
  </w:style>
  <w:style w:type="paragraph" w:customStyle="1" w:styleId="toc152f5fd73">
    <w:name w:val="toc 152f5fd73"/>
    <w:basedOn w:val="Normala5540f79"/>
    <w:next w:val="a"/>
    <w:autoRedefine/>
  </w:style>
  <w:style w:type="paragraph" w:customStyle="1" w:styleId="toc2b71669c0">
    <w:name w:val="toc 2b71669c0"/>
    <w:basedOn w:val="Normala5540f79"/>
    <w:next w:val="a"/>
    <w:autoRedefine/>
    <w:pPr>
      <w:ind w:left="420"/>
    </w:pPr>
  </w:style>
  <w:style w:type="paragraph" w:customStyle="1" w:styleId="toc31dbba144">
    <w:name w:val="toc 31dbba144"/>
    <w:basedOn w:val="Normala5540f79"/>
    <w:next w:val="a"/>
    <w:autoRedefine/>
    <w:pPr>
      <w:ind w:left="840"/>
    </w:pPr>
  </w:style>
  <w:style w:type="paragraph" w:customStyle="1" w:styleId="toc47ac61cb2">
    <w:name w:val="toc 47ac61cb2"/>
    <w:basedOn w:val="Normala5540f79"/>
    <w:next w:val="a"/>
    <w:autoRedefine/>
    <w:pPr>
      <w:ind w:left="1260"/>
    </w:pPr>
  </w:style>
  <w:style w:type="paragraph" w:customStyle="1" w:styleId="toc5a6a47780">
    <w:name w:val="toc 5a6a47780"/>
    <w:basedOn w:val="Normala5540f79"/>
    <w:next w:val="a"/>
    <w:autoRedefine/>
    <w:pPr>
      <w:ind w:left="1680"/>
    </w:pPr>
  </w:style>
  <w:style w:type="paragraph" w:customStyle="1" w:styleId="header5543acec">
    <w:name w:val="header5543acec"/>
    <w:basedOn w:val="Normala5540f79"/>
    <w:pPr>
      <w:pBdr>
        <w:bottom w:val="single" w:sz="6" w:space="1" w:color="auto"/>
      </w:pBdr>
      <w:tabs>
        <w:tab w:val="center" w:pos="4153"/>
        <w:tab w:val="right" w:pos="8307"/>
      </w:tabs>
      <w:snapToGrid w:val="0"/>
      <w:jc w:val="center"/>
    </w:pPr>
    <w:rPr>
      <w:sz w:val="18"/>
    </w:rPr>
  </w:style>
  <w:style w:type="paragraph" w:customStyle="1" w:styleId="footer2c96ba6e">
    <w:name w:val="footer2c96ba6e"/>
    <w:basedOn w:val="Normala5540f79"/>
    <w:pPr>
      <w:tabs>
        <w:tab w:val="center" w:pos="4153"/>
        <w:tab w:val="right" w:pos="8307"/>
      </w:tabs>
      <w:snapToGrid w:val="0"/>
      <w:jc w:val="left"/>
    </w:pPr>
    <w:rPr>
      <w:sz w:val="18"/>
    </w:rPr>
  </w:style>
  <w:style w:type="character" w:customStyle="1" w:styleId="Strong51344b58">
    <w:name w:val="Strong51344b58"/>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60d18fb">
    <w:name w:val="Normalb60d18fb"/>
    <w:next w:val="10"/>
    <w:pPr>
      <w:widowControl w:val="0"/>
      <w:jc w:val="both"/>
    </w:pPr>
    <w:rPr>
      <w:rFonts w:ascii="方正黑体_GBK" w:eastAsia="方正黑体_GBK" w:hAnsi="方正黑体_GBK" w:cs="Times New Roman"/>
      <w:sz w:val="18"/>
      <w:szCs w:val="18"/>
    </w:rPr>
  </w:style>
  <w:style w:type="paragraph" w:customStyle="1" w:styleId="heading1eff0d9aa">
    <w:name w:val="heading 1eff0d9aa"/>
    <w:basedOn w:val="Normalb60d18fb"/>
    <w:next w:val="a"/>
    <w:pPr>
      <w:keepNext/>
      <w:keepLines/>
      <w:spacing w:before="340" w:after="330" w:line="578" w:lineRule="auto"/>
      <w:outlineLvl w:val="0"/>
    </w:pPr>
    <w:rPr>
      <w:b/>
      <w:bCs/>
      <w:kern w:val="44"/>
      <w:sz w:val="44"/>
    </w:rPr>
  </w:style>
  <w:style w:type="paragraph" w:customStyle="1" w:styleId="heading25cb7fd5b">
    <w:name w:val="heading 25cb7fd5b"/>
    <w:basedOn w:val="Normalb60d18fb"/>
    <w:next w:val="a"/>
    <w:pPr>
      <w:keepNext/>
      <w:keepLines/>
      <w:spacing w:before="260" w:after="260" w:line="415" w:lineRule="auto"/>
      <w:outlineLvl w:val="1"/>
    </w:pPr>
    <w:rPr>
      <w:b/>
      <w:sz w:val="32"/>
    </w:rPr>
  </w:style>
  <w:style w:type="paragraph" w:customStyle="1" w:styleId="heading3f4382b32">
    <w:name w:val="heading 3f4382b32"/>
    <w:basedOn w:val="Normalb60d18fb"/>
    <w:next w:val="a"/>
    <w:pPr>
      <w:keepNext/>
      <w:keepLines/>
      <w:spacing w:before="260" w:after="260" w:line="415" w:lineRule="auto"/>
      <w:outlineLvl w:val="2"/>
    </w:pPr>
    <w:rPr>
      <w:b/>
      <w:sz w:val="32"/>
    </w:rPr>
  </w:style>
  <w:style w:type="character" w:customStyle="1" w:styleId="DefaultParagraphFonte604f022">
    <w:name w:val="Default Paragraph Fonte604f022"/>
  </w:style>
  <w:style w:type="paragraph" w:customStyle="1" w:styleId="NormalIndent308d8011">
    <w:name w:val="Normal Indent308d8011"/>
    <w:basedOn w:val="Normalb60d18fb"/>
    <w:pPr>
      <w:ind w:firstLineChars="200" w:firstLine="200"/>
    </w:pPr>
  </w:style>
  <w:style w:type="paragraph" w:customStyle="1" w:styleId="toc5844e4395">
    <w:name w:val="toc 5844e4395"/>
    <w:basedOn w:val="Normalb60d18fb"/>
    <w:next w:val="a"/>
    <w:pPr>
      <w:ind w:left="1680"/>
    </w:pPr>
  </w:style>
  <w:style w:type="paragraph" w:customStyle="1" w:styleId="toc3c3b8119c">
    <w:name w:val="toc 3c3b8119c"/>
    <w:basedOn w:val="Normalb60d18fb"/>
    <w:next w:val="a"/>
    <w:pPr>
      <w:ind w:left="840"/>
    </w:pPr>
  </w:style>
  <w:style w:type="paragraph" w:customStyle="1" w:styleId="footer38b4adf5">
    <w:name w:val="footer38b4adf5"/>
    <w:basedOn w:val="Normalb60d18fb"/>
    <w:pPr>
      <w:tabs>
        <w:tab w:val="center" w:pos="4153"/>
        <w:tab w:val="right" w:pos="8307"/>
      </w:tabs>
      <w:snapToGrid w:val="0"/>
      <w:jc w:val="left"/>
    </w:pPr>
  </w:style>
  <w:style w:type="paragraph" w:customStyle="1" w:styleId="header8b72e47a">
    <w:name w:val="header8b72e47a"/>
    <w:basedOn w:val="Normalb60d18fb"/>
    <w:pPr>
      <w:pBdr>
        <w:bottom w:val="single" w:sz="6" w:space="1" w:color="auto"/>
      </w:pBdr>
      <w:tabs>
        <w:tab w:val="center" w:pos="4153"/>
        <w:tab w:val="right" w:pos="8307"/>
      </w:tabs>
      <w:snapToGrid w:val="0"/>
      <w:jc w:val="center"/>
    </w:pPr>
  </w:style>
  <w:style w:type="paragraph" w:customStyle="1" w:styleId="toc1f99151ab">
    <w:name w:val="toc 1f99151ab"/>
    <w:basedOn w:val="Normalb60d18fb"/>
    <w:next w:val="a"/>
  </w:style>
  <w:style w:type="paragraph" w:customStyle="1" w:styleId="toc47901b2e3">
    <w:name w:val="toc 47901b2e3"/>
    <w:basedOn w:val="Normalb60d18fb"/>
    <w:next w:val="a"/>
    <w:pPr>
      <w:ind w:left="1260"/>
    </w:pPr>
  </w:style>
  <w:style w:type="paragraph" w:customStyle="1" w:styleId="toc2e14e8169">
    <w:name w:val="toc 2e14e8169"/>
    <w:basedOn w:val="Normalb60d18fb"/>
    <w:next w:val="a"/>
    <w:pPr>
      <w:ind w:left="420"/>
    </w:pPr>
  </w:style>
  <w:style w:type="paragraph" w:customStyle="1" w:styleId="NormalWebac7fb849">
    <w:name w:val="Normal (Web)ac7fb84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10e485a510e485a">
    <w:name w:val="Normal510e485a510e485a"/>
    <w:next w:val="10"/>
    <w:pPr>
      <w:widowControl w:val="0"/>
      <w:jc w:val="both"/>
    </w:pPr>
    <w:rPr>
      <w:rFonts w:ascii="方正黑体_GBK" w:eastAsia="方正黑体_GBK" w:hAnsi="方正黑体_GBK" w:cs="Times New Roman"/>
      <w:szCs w:val="21"/>
    </w:rPr>
  </w:style>
  <w:style w:type="paragraph" w:customStyle="1" w:styleId="heading19e8468bc9e8468bc">
    <w:name w:val="heading 19e8468bc9e8468bc"/>
    <w:basedOn w:val="Normal510e485a510e485a"/>
    <w:next w:val="a"/>
    <w:pPr>
      <w:keepNext/>
      <w:keepLines/>
      <w:spacing w:before="340" w:after="330" w:line="578" w:lineRule="auto"/>
      <w:outlineLvl w:val="0"/>
    </w:pPr>
    <w:rPr>
      <w:b/>
      <w:bCs/>
      <w:kern w:val="44"/>
      <w:sz w:val="44"/>
    </w:rPr>
  </w:style>
  <w:style w:type="paragraph" w:customStyle="1" w:styleId="heading2b2bb0ff5b2bb0ff5">
    <w:name w:val="heading 2b2bb0ff5b2bb0ff5"/>
    <w:basedOn w:val="Normal510e485a510e485a"/>
    <w:next w:val="a"/>
    <w:pPr>
      <w:keepNext/>
      <w:keepLines/>
      <w:spacing w:before="260" w:after="260" w:line="415" w:lineRule="auto"/>
      <w:outlineLvl w:val="1"/>
    </w:pPr>
    <w:rPr>
      <w:b/>
      <w:sz w:val="32"/>
    </w:rPr>
  </w:style>
  <w:style w:type="paragraph" w:customStyle="1" w:styleId="heading3d6116d92d6116d92">
    <w:name w:val="heading 3d6116d92d6116d92"/>
    <w:basedOn w:val="Normal510e485a510e485a"/>
    <w:next w:val="a"/>
    <w:pPr>
      <w:keepNext/>
      <w:keepLines/>
      <w:spacing w:before="260" w:after="260" w:line="415" w:lineRule="auto"/>
      <w:outlineLvl w:val="2"/>
    </w:pPr>
    <w:rPr>
      <w:b/>
      <w:sz w:val="32"/>
    </w:rPr>
  </w:style>
  <w:style w:type="character" w:customStyle="1" w:styleId="DefaultParagraphFontbdc95acebdc95ace">
    <w:name w:val="Default Paragraph Fontbdc95acebdc95ace"/>
  </w:style>
  <w:style w:type="paragraph" w:customStyle="1" w:styleId="10789c83b0789c83b">
    <w:name w:val="引文目录10789c83b0789c83b"/>
    <w:basedOn w:val="Normal510e485a510e485a"/>
    <w:next w:val="a"/>
    <w:pPr>
      <w:ind w:leftChars="200" w:left="200"/>
    </w:pPr>
  </w:style>
  <w:style w:type="paragraph" w:customStyle="1" w:styleId="toc51f983ed91f983ed9">
    <w:name w:val="toc 51f983ed91f983ed9"/>
    <w:basedOn w:val="Normal510e485a510e485a"/>
    <w:next w:val="a"/>
    <w:pPr>
      <w:ind w:left="1680"/>
    </w:pPr>
  </w:style>
  <w:style w:type="paragraph" w:customStyle="1" w:styleId="toc388880eda88880eda">
    <w:name w:val="toc 388880eda88880eda"/>
    <w:basedOn w:val="Normal510e485a510e485a"/>
    <w:next w:val="a"/>
    <w:pPr>
      <w:ind w:left="840"/>
    </w:pPr>
  </w:style>
  <w:style w:type="paragraph" w:customStyle="1" w:styleId="footere7f726c9e7f726c9">
    <w:name w:val="footere7f726c9e7f726c9"/>
    <w:basedOn w:val="Normal510e485a510e485a"/>
    <w:pPr>
      <w:tabs>
        <w:tab w:val="center" w:pos="4153"/>
        <w:tab w:val="right" w:pos="8307"/>
      </w:tabs>
      <w:snapToGrid w:val="0"/>
      <w:jc w:val="left"/>
    </w:pPr>
    <w:rPr>
      <w:sz w:val="18"/>
    </w:rPr>
  </w:style>
  <w:style w:type="paragraph" w:customStyle="1" w:styleId="header3fc8e4eb3fc8e4eb">
    <w:name w:val="header3fc8e4eb3fc8e4eb"/>
    <w:basedOn w:val="Normal510e485a510e485a"/>
    <w:pPr>
      <w:pBdr>
        <w:bottom w:val="single" w:sz="6" w:space="1" w:color="auto"/>
      </w:pBdr>
      <w:tabs>
        <w:tab w:val="center" w:pos="4153"/>
        <w:tab w:val="right" w:pos="8307"/>
      </w:tabs>
      <w:snapToGrid w:val="0"/>
      <w:jc w:val="center"/>
    </w:pPr>
    <w:rPr>
      <w:sz w:val="18"/>
    </w:rPr>
  </w:style>
  <w:style w:type="paragraph" w:customStyle="1" w:styleId="toc189614f4489614f44">
    <w:name w:val="toc 189614f4489614f44"/>
    <w:basedOn w:val="Normal510e485a510e485a"/>
    <w:next w:val="a"/>
  </w:style>
  <w:style w:type="paragraph" w:customStyle="1" w:styleId="toc49fdc67009fdc6700">
    <w:name w:val="toc 49fdc67009fdc6700"/>
    <w:basedOn w:val="Normal510e485a510e485a"/>
    <w:next w:val="a"/>
    <w:pPr>
      <w:ind w:left="1260"/>
    </w:pPr>
  </w:style>
  <w:style w:type="paragraph" w:customStyle="1" w:styleId="toc20b4eccec0b4eccec">
    <w:name w:val="toc 20b4eccec0b4eccec"/>
    <w:basedOn w:val="Normal510e485a510e485a"/>
    <w:next w:val="a"/>
    <w:pPr>
      <w:ind w:left="420"/>
    </w:pPr>
  </w:style>
  <w:style w:type="paragraph" w:customStyle="1" w:styleId="1674774d9674774d9">
    <w:name w:val="列出段落1674774d9674774d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936A0"/>
    <w:rPr>
      <w:rFonts w:ascii="方正黑体_GBK" w:eastAsia="方正黑体_GBK" w:hAnsi="方正黑体_GBK" w:cs="Times New Roman"/>
      <w:sz w:val="18"/>
      <w:szCs w:val="21"/>
    </w:rPr>
  </w:style>
  <w:style w:type="character" w:customStyle="1" w:styleId="a6">
    <w:name w:val="页脚 字符"/>
    <w:basedOn w:val="a0"/>
    <w:link w:val="a5"/>
    <w:rsid w:val="008936A0"/>
    <w:rPr>
      <w:rFonts w:ascii="方正黑体_GBK" w:eastAsia="方正黑体_GBK" w:hAnsi="方正黑体_GBK" w:cs="Times New Roman"/>
      <w:sz w:val="18"/>
      <w:szCs w:val="21"/>
    </w:rPr>
  </w:style>
  <w:style w:type="paragraph" w:styleId="a8">
    <w:name w:val="Normal Indent"/>
    <w:basedOn w:val="a"/>
    <w:qFormat/>
    <w:rsid w:val="008936A0"/>
    <w:pPr>
      <w:ind w:firstLineChars="200" w:firstLine="200"/>
    </w:pPr>
    <w:rPr>
      <w:rFonts w:ascii="Times New Roman" w:eastAsia="宋体" w:hAnsi="Times New Roman"/>
      <w:sz w:val="18"/>
      <w:szCs w:val="18"/>
    </w:rPr>
  </w:style>
  <w:style w:type="paragraph" w:styleId="a9">
    <w:name w:val="annotation text"/>
    <w:basedOn w:val="a"/>
    <w:link w:val="aa"/>
    <w:rsid w:val="008936A0"/>
    <w:pPr>
      <w:jc w:val="left"/>
    </w:pPr>
    <w:rPr>
      <w:rFonts w:ascii="Times New Roman" w:eastAsia="宋体" w:hAnsi="Times New Roman"/>
      <w:sz w:val="18"/>
      <w:szCs w:val="18"/>
    </w:rPr>
  </w:style>
  <w:style w:type="character" w:customStyle="1" w:styleId="aa">
    <w:name w:val="批注文字 字符"/>
    <w:basedOn w:val="a0"/>
    <w:link w:val="a9"/>
    <w:rsid w:val="008936A0"/>
    <w:rPr>
      <w:rFonts w:ascii="Times New Roman" w:eastAsia="宋体" w:hAnsi="Times New Roman" w:cs="Times New Roman"/>
      <w:sz w:val="18"/>
      <w:szCs w:val="18"/>
    </w:rPr>
  </w:style>
  <w:style w:type="paragraph" w:styleId="ab">
    <w:name w:val="Normal (Web)"/>
    <w:next w:val="10"/>
    <w:qFormat/>
    <w:rsid w:val="008936A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936A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936A0"/>
    <w:pPr>
      <w:ind w:firstLineChars="200" w:firstLine="420"/>
    </w:pPr>
    <w:rPr>
      <w:rFonts w:ascii="Times New Roman" w:eastAsia="宋体" w:hAnsi="Times New Roman"/>
      <w:sz w:val="18"/>
      <w:szCs w:val="18"/>
    </w:rPr>
  </w:style>
  <w:style w:type="character" w:customStyle="1" w:styleId="fontstyle01">
    <w:name w:val="fontstyle01"/>
    <w:qFormat/>
    <w:rsid w:val="008936A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6298</Words>
  <Characters>35901</Characters>
  <Application>Microsoft Office Word</Application>
  <DocSecurity>0</DocSecurity>
  <Lines>299</Lines>
  <Paragraphs>84</Paragraphs>
  <ScaleCrop>false</ScaleCrop>
  <Company>P R C</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CQWM86GK79VQ00TGQYRNQL057N8MOYPREJ06FJDWXFGRTELT68BJQC0EFSUHPC6RBXM6COLIZH5D8HNJQXFAQFF68RNMWI5B8FOD0HB34FD17FD062303BE01D880157A4285C30</vt:lpwstr>
  </property>
  <property fmtid="{D5CDD505-2E9C-101B-9397-08002B2CF9AE}" pid="5" name="_KSOProductBuildSID">
    <vt:lpwstr>C5EC319C551A4994AD5FF68203298DC5</vt:lpwstr>
  </property>
</Properties>
</file>