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QWMQ6GK79TQ05HGRQR8DLJB7ZQ0O7GRQO0XNJDWXFMRTGCTZ7BR6CJTFY5TPBIRXNMXLOLHZHJD8HNJRJFAPFF78RM0WLLB8UOOMHB304855F68984483AB3DC7709FFE819E8E" Type="http://schemas.microsoft.com/office/2006/relationships/officeDocumentMain" Target="docProps/core.xml"/><Relationship Id="SZWM86BU7RRQ059GRZRNKL097NZ0OSVREU06FJDWXGP8TE5T60BR6C0CFSUHPC6RBNMXJOZNZH078LJJQJFTRFF68RZMWOWBBJOOIHB33E4DDDBC50F3F80D0CB6642AE26CB1D2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南银理财创鑫财富牛2号公募人民币理财产品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2024年04月24日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南银理财创鑫财富牛2号公募人民币理财产品（产品登记编码Z7003220000005，内部销售代码Z10005）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2017年04月13日，于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2024年04月18日至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2024年04月24日开放申购/赎回。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2024-07-18至2024-07-24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2024-07-24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2024-07-25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1.1052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1.3257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1.1052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1.1052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4.33%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2024-01-26至2024-04-24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2024-01-25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1.0935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1.3140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1.0935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1.0935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3.79%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2023-11-01至2024-01-25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2023-10-31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1.3043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1.0838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1.0838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2.83%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2023-07-26至2023-10-31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2024年04月25日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DQWMQ6GK79TQ05HGRQR8DLJB7ZQ0O7GRQO0XNJDWXFMRTGCTZ7BR6CJTFY5TPBIRXNMXLOLHZHJD8HNJRJFAPFF78RM0WLLB8UOOMHB304855F68984483AB3DC7709FFE819E8E</vt:lpwstr>
  </property>
  <property fmtid="{D5CDD505-2E9C-101B-9397-08002B2CF9AE}" pid="5" name="_KSOProductBuildSID">
    <vt:lpwstr>F8DAD1A45E4D4E7A9FDBC0FAF5473887</vt:lpwstr>
  </property>
</Properties>
</file>