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CZWMK6BV7RSA00BGQPR80L007NMMO7VR9S0XOJDWXGPRTG5TZ8BJQCJFFYSHP8IRBEMXOOL9ZH078LJJRUFTDFF78RLMWHLBANOOIHB3EBB0ADD72260CFF8DC178439A45BEF8C" Type="http://schemas.microsoft.com/office/2006/relationships/officeDocumentMain" Target="docProps/core.xml"/><Relationship Id="CZWFI6BV79TQ05BGQKR8RL0D7N8MOSYR9X0XLJDWXFBRTQWTZ6BJQCJAFSVHPFIRBEMX5OZMZIW78MXJROFTYF8D89CMWMLB8EODQHB30AB5076481E15101802FD0DE44F91E7A" Type="http://schemas.microsoft.com/office/2006/relationships/officeDocumentExtended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F8" w:rsidRDefault="00BD35D6">
      <w:pPr>
        <w:jc w:val="center"/>
        <w:rPr>
          <w:rFonts w:ascii="方正黑体简体" w:eastAsia="方正黑体简体" w:hAnsi="仿宋_GB2312" w:cs="仿宋_GB2312"/>
          <w:b/>
          <w:bCs/>
          <w:sz w:val="28"/>
          <w:szCs w:val="28"/>
        </w:rPr>
      </w:pPr>
      <w:bookmarkStart w:id="0" w:name="_GoBack"/>
      <w:bookmarkEnd w:id="0"/>
      <w:r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南银理财珠联璧合理财管理计划1号公募人民币理财产品（Z10036）</w:t>
      </w:r>
      <w:r w:rsidR="005416D6" w:rsidRPr="005416D6"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2024年0</w:t>
      </w:r>
      <w:r w:rsidR="00284AC6"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4</w:t>
      </w:r>
      <w:r w:rsidR="005416D6" w:rsidRPr="005416D6"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月2</w:t>
      </w:r>
      <w:r w:rsidR="00284AC6"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3</w:t>
      </w:r>
      <w:r w:rsidR="005416D6" w:rsidRPr="005416D6"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日</w:t>
      </w:r>
    </w:p>
    <w:p w:rsidR="00B55BF8" w:rsidRDefault="00BD35D6">
      <w:pPr>
        <w:jc w:val="center"/>
        <w:rPr>
          <w:rFonts w:ascii="方正黑体简体" w:eastAsia="方正黑体简体" w:hAnsi="仿宋_GB2312" w:cs="仿宋_GB2312"/>
          <w:b/>
          <w:bCs/>
          <w:sz w:val="28"/>
          <w:szCs w:val="28"/>
        </w:rPr>
      </w:pPr>
      <w:r>
        <w:rPr>
          <w:rFonts w:ascii="方正黑体简体" w:eastAsia="方正黑体简体" w:hAnsi="仿宋_GB2312" w:cs="仿宋_GB2312" w:hint="eastAsia"/>
          <w:b/>
          <w:bCs/>
          <w:sz w:val="28"/>
          <w:szCs w:val="28"/>
        </w:rPr>
        <w:t>开放及净值公告</w:t>
      </w:r>
    </w:p>
    <w:p w:rsidR="00B55BF8" w:rsidRDefault="00BD35D6">
      <w:pPr>
        <w:widowControl w:val="0"/>
        <w:spacing w:line="360" w:lineRule="auto"/>
        <w:rPr>
          <w:rFonts w:ascii="方正仿宋简体" w:eastAsia="方正仿宋简体" w:hAnsi="仿宋_GB2312" w:cs="仿宋_GB2312"/>
          <w:b/>
          <w:bCs/>
          <w:sz w:val="28"/>
          <w:szCs w:val="28"/>
        </w:rPr>
      </w:pPr>
      <w:r>
        <w:rPr>
          <w:rFonts w:ascii="方正仿宋简体" w:eastAsia="方正仿宋简体" w:hAnsi="仿宋_GB2312" w:cs="仿宋_GB2312" w:hint="eastAsia"/>
          <w:szCs w:val="21"/>
        </w:rPr>
        <w:t>尊敬的投资者：</w:t>
      </w:r>
    </w:p>
    <w:p w:rsidR="00B55BF8" w:rsidRDefault="008018CA">
      <w:pPr>
        <w:widowControl w:val="0"/>
        <w:spacing w:line="360" w:lineRule="auto"/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南银理财理财管理计划1号-C份额（产品登记编码Z7003220000003，内部销售代码Z10036）</w:t>
      </w:r>
      <w:r w:rsidR="00BD35D6">
        <w:rPr>
          <w:rFonts w:ascii="方正仿宋简体" w:eastAsia="方正仿宋简体" w:hAnsi="仿宋_GB2312" w:cs="仿宋_GB2312" w:hint="eastAsia"/>
          <w:szCs w:val="21"/>
        </w:rPr>
        <w:t>成立于2024年02月22日，于2024年0</w:t>
      </w:r>
      <w:r w:rsidR="00284AC6">
        <w:rPr>
          <w:rFonts w:ascii="方正仿宋简体" w:eastAsia="方正仿宋简体" w:hAnsi="仿宋_GB2312" w:cs="仿宋_GB2312" w:hint="eastAsia"/>
          <w:szCs w:val="21"/>
        </w:rPr>
        <w:t>4</w:t>
      </w:r>
      <w:r w:rsidR="00BD35D6">
        <w:rPr>
          <w:rFonts w:ascii="方正仿宋简体" w:eastAsia="方正仿宋简体" w:hAnsi="仿宋_GB2312" w:cs="仿宋_GB2312" w:hint="eastAsia"/>
          <w:szCs w:val="21"/>
        </w:rPr>
        <w:t>月</w:t>
      </w:r>
      <w:r w:rsidR="00284AC6">
        <w:rPr>
          <w:rFonts w:ascii="方正仿宋简体" w:eastAsia="方正仿宋简体" w:hAnsi="仿宋_GB2312" w:cs="仿宋_GB2312" w:hint="eastAsia"/>
          <w:szCs w:val="21"/>
        </w:rPr>
        <w:t>17</w:t>
      </w:r>
      <w:r w:rsidR="00BD35D6">
        <w:rPr>
          <w:rFonts w:ascii="方正仿宋简体" w:eastAsia="方正仿宋简体" w:hAnsi="仿宋_GB2312" w:cs="仿宋_GB2312" w:hint="eastAsia"/>
          <w:szCs w:val="21"/>
        </w:rPr>
        <w:t>日至2024年0</w:t>
      </w:r>
      <w:r w:rsidR="00284AC6">
        <w:rPr>
          <w:rFonts w:ascii="方正仿宋简体" w:eastAsia="方正仿宋简体" w:hAnsi="仿宋_GB2312" w:cs="仿宋_GB2312" w:hint="eastAsia"/>
          <w:szCs w:val="21"/>
        </w:rPr>
        <w:t>4</w:t>
      </w:r>
      <w:r w:rsidR="00BD35D6">
        <w:rPr>
          <w:rFonts w:ascii="方正仿宋简体" w:eastAsia="方正仿宋简体" w:hAnsi="仿宋_GB2312" w:cs="仿宋_GB2312" w:hint="eastAsia"/>
          <w:szCs w:val="21"/>
        </w:rPr>
        <w:t>月2</w:t>
      </w:r>
      <w:r w:rsidR="00284AC6">
        <w:rPr>
          <w:rFonts w:ascii="方正仿宋简体" w:eastAsia="方正仿宋简体" w:hAnsi="仿宋_GB2312" w:cs="仿宋_GB2312" w:hint="eastAsia"/>
          <w:szCs w:val="21"/>
        </w:rPr>
        <w:t>3</w:t>
      </w:r>
      <w:r w:rsidR="00BD35D6">
        <w:rPr>
          <w:rFonts w:ascii="方正仿宋简体" w:eastAsia="方正仿宋简体" w:hAnsi="仿宋_GB2312" w:cs="仿宋_GB2312" w:hint="eastAsia"/>
          <w:szCs w:val="21"/>
        </w:rPr>
        <w:t>日开放申购/赎回。</w:t>
      </w:r>
    </w:p>
    <w:p w:rsidR="00B55BF8" w:rsidRDefault="00BD35D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_GB2312" w:cs="仿宋_GB2312"/>
          <w:bCs/>
          <w:szCs w:val="21"/>
        </w:rPr>
      </w:pPr>
      <w:r>
        <w:rPr>
          <w:rFonts w:ascii="方正仿宋简体" w:eastAsia="方正仿宋简体" w:hAnsi="仿宋_GB2312" w:cs="仿宋_GB2312" w:hint="eastAsia"/>
          <w:bCs/>
          <w:szCs w:val="21"/>
        </w:rPr>
        <w:t>后续开放日安排：</w:t>
      </w:r>
    </w:p>
    <w:tbl>
      <w:tblPr>
        <w:tblW w:w="9526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Layout w:type="fixed"/>
        <w:tblLook w:val="04A0"/>
      </w:tblPr>
      <w:tblGrid>
        <w:gridCol w:w="3520"/>
        <w:gridCol w:w="2487"/>
        <w:gridCol w:w="3519"/>
      </w:tblGrid>
      <w:tr w:rsidR="00B55BF8" w:rsidTr="00284AC6">
        <w:trPr>
          <w:trHeight w:val="567"/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284AC6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申购/赎回起止日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284AC6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申购/赎回确认日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5BF8" w:rsidRDefault="00BD35D6" w:rsidP="00284AC6">
            <w:pPr>
              <w:widowControl w:val="0"/>
              <w:autoSpaceDE w:val="0"/>
              <w:autoSpaceDN w:val="0"/>
              <w:spacing w:beforeLines="20" w:afterLines="20"/>
              <w:jc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bCs/>
                <w:szCs w:val="21"/>
              </w:rPr>
              <w:t>赎回资金到账日</w:t>
            </w:r>
          </w:p>
        </w:tc>
      </w:tr>
      <w:tr w:rsidR="00284AC6" w:rsidTr="00284AC6">
        <w:trPr>
          <w:trHeight w:val="567"/>
          <w:jc w:val="center"/>
        </w:trPr>
        <w:tc>
          <w:tcPr>
            <w:tcW w:w="3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AC6" w:rsidRDefault="00284AC6" w:rsidP="00284AC6"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</w:rPr>
              <w:t>2024-05-15至2024-05-21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AC6" w:rsidRDefault="00284AC6" w:rsidP="00284AC6"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</w:rPr>
              <w:t>2024-05-21</w:t>
            </w:r>
          </w:p>
        </w:tc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AC6" w:rsidRDefault="00284AC6" w:rsidP="00284AC6">
            <w:pPr>
              <w:widowControl w:val="0"/>
              <w:autoSpaceDE w:val="0"/>
              <w:autoSpaceDN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</w:rPr>
              <w:t>2024-05-22</w:t>
            </w:r>
          </w:p>
        </w:tc>
      </w:tr>
    </w:tbl>
    <w:p w:rsidR="00B55BF8" w:rsidRDefault="00BD35D6">
      <w:pPr>
        <w:widowControl w:val="0"/>
        <w:spacing w:line="360" w:lineRule="auto"/>
        <w:ind w:firstLine="420"/>
        <w:jc w:val="left"/>
        <w:rPr>
          <w:rFonts w:ascii="方正仿宋简体" w:eastAsia="方正仿宋简体" w:hAnsi="仿宋_GB2312" w:cs="仿宋_GB2312"/>
          <w:bCs/>
          <w:szCs w:val="21"/>
        </w:rPr>
      </w:pPr>
      <w:r>
        <w:rPr>
          <w:rFonts w:ascii="方正仿宋简体" w:eastAsia="方正仿宋简体" w:hAnsi="仿宋_GB2312" w:cs="仿宋_GB2312" w:hint="eastAsia"/>
          <w:bCs/>
          <w:szCs w:val="21"/>
        </w:rPr>
        <w:t>近</w:t>
      </w:r>
      <w:r w:rsidR="00284AC6">
        <w:rPr>
          <w:rFonts w:ascii="方正仿宋简体" w:eastAsia="方正仿宋简体" w:hAnsi="仿宋_GB2312" w:cs="仿宋_GB2312" w:hint="eastAsia"/>
          <w:bCs/>
          <w:szCs w:val="21"/>
        </w:rPr>
        <w:t>二</w:t>
      </w:r>
      <w:r>
        <w:rPr>
          <w:rFonts w:ascii="方正仿宋简体" w:eastAsia="方正仿宋简体" w:hAnsi="仿宋_GB2312" w:cs="仿宋_GB2312" w:hint="eastAsia"/>
          <w:bCs/>
          <w:szCs w:val="21"/>
        </w:rPr>
        <w:t>期净值信息：</w:t>
      </w:r>
    </w:p>
    <w:tbl>
      <w:tblPr>
        <w:tblW w:w="9526" w:type="dxa"/>
        <w:jc w:val="center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1"/>
        <w:gridCol w:w="1134"/>
        <w:gridCol w:w="1134"/>
        <w:gridCol w:w="1276"/>
        <w:gridCol w:w="1275"/>
        <w:gridCol w:w="1418"/>
        <w:gridCol w:w="1828"/>
      </w:tblGrid>
      <w:tr w:rsidR="00732F26" w:rsidTr="005B47F1">
        <w:trPr>
          <w:jc w:val="center"/>
        </w:trPr>
        <w:tc>
          <w:tcPr>
            <w:tcW w:w="1461" w:type="dxa"/>
            <w:vAlign w:val="center"/>
          </w:tcPr>
          <w:p w:rsidR="00732F26" w:rsidRDefault="00732F26" w:rsidP="00284AC6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申购/赎回</w:t>
            </w:r>
            <w:r>
              <w:rPr>
                <w:rFonts w:ascii="方正仿宋简体" w:eastAsia="方正仿宋简体" w:hAnsi="仿宋_GB2312" w:cs="仿宋_GB2312"/>
                <w:szCs w:val="21"/>
              </w:rPr>
              <w:t>确认日</w:t>
            </w:r>
          </w:p>
        </w:tc>
        <w:tc>
          <w:tcPr>
            <w:tcW w:w="1134" w:type="dxa"/>
            <w:vAlign w:val="center"/>
          </w:tcPr>
          <w:p w:rsidR="00732F26" w:rsidRDefault="00732F26" w:rsidP="00284AC6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期末每份额净值（元）</w:t>
            </w:r>
          </w:p>
        </w:tc>
        <w:tc>
          <w:tcPr>
            <w:tcW w:w="1134" w:type="dxa"/>
            <w:vAlign w:val="center"/>
          </w:tcPr>
          <w:p w:rsidR="00732F26" w:rsidRDefault="00732F26" w:rsidP="00284AC6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每份额累计净值（元）</w:t>
            </w:r>
          </w:p>
        </w:tc>
        <w:tc>
          <w:tcPr>
            <w:tcW w:w="1276" w:type="dxa"/>
            <w:vAlign w:val="center"/>
          </w:tcPr>
          <w:p w:rsidR="00732F26" w:rsidRDefault="00732F26" w:rsidP="00284AC6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赎回价格（元/份）</w:t>
            </w:r>
          </w:p>
        </w:tc>
        <w:tc>
          <w:tcPr>
            <w:tcW w:w="1275" w:type="dxa"/>
            <w:vAlign w:val="center"/>
          </w:tcPr>
          <w:p w:rsidR="00732F26" w:rsidRDefault="00732F26" w:rsidP="00284AC6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申购价格（元/份）</w:t>
            </w:r>
          </w:p>
        </w:tc>
        <w:tc>
          <w:tcPr>
            <w:tcW w:w="1418" w:type="dxa"/>
            <w:vAlign w:val="center"/>
          </w:tcPr>
          <w:p w:rsidR="00732F26" w:rsidRDefault="00732F26" w:rsidP="00284AC6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本期投资运作参考年化收益率</w:t>
            </w:r>
          </w:p>
        </w:tc>
        <w:tc>
          <w:tcPr>
            <w:tcW w:w="1828" w:type="dxa"/>
            <w:vAlign w:val="center"/>
          </w:tcPr>
          <w:p w:rsidR="00732F26" w:rsidRDefault="00732F26" w:rsidP="00284AC6">
            <w:pPr>
              <w:spacing w:beforeLines="20" w:afterLines="20"/>
              <w:jc w:val="center"/>
              <w:rPr>
                <w:rFonts w:ascii="方正仿宋简体" w:eastAsia="方正仿宋简体" w:hAnsi="仿宋_GB2312" w:cs="仿宋_GB2312"/>
                <w:szCs w:val="21"/>
              </w:rPr>
            </w:pPr>
            <w:r>
              <w:rPr>
                <w:rFonts w:ascii="方正仿宋简体" w:eastAsia="方正仿宋简体" w:hAnsi="仿宋_GB2312" w:cs="仿宋_GB2312" w:hint="eastAsia"/>
                <w:szCs w:val="21"/>
              </w:rPr>
              <w:t>本期封闭期</w:t>
            </w:r>
          </w:p>
        </w:tc>
      </w:tr>
      <w:tr w:rsidR="00284AC6">
        <w:trPr>
          <w:jc w:val="center"/>
        </w:trPr>
        <w:tc>
          <w:tcPr>
            <w:tcW w:w="1461" w:type="dxa"/>
            <w:vAlign w:val="center"/>
          </w:tcPr>
          <w:p w:rsidR="00284AC6" w:rsidRDefault="00284AC6" w:rsidP="00284AC6"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</w:rPr>
              <w:t>2024-04-23</w:t>
            </w:r>
          </w:p>
        </w:tc>
        <w:tc>
          <w:tcPr>
            <w:tcW w:w="1134" w:type="dxa"/>
            <w:vAlign w:val="center"/>
          </w:tcPr>
          <w:p w:rsidR="00284AC6" w:rsidRDefault="00284AC6" w:rsidP="00284AC6"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</w:rPr>
              <w:t>1.0896</w:t>
            </w:r>
          </w:p>
        </w:tc>
        <w:tc>
          <w:tcPr>
            <w:tcW w:w="1134" w:type="dxa"/>
            <w:vAlign w:val="center"/>
          </w:tcPr>
          <w:p w:rsidR="00284AC6" w:rsidRDefault="00284AC6" w:rsidP="00284AC6"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</w:rPr>
              <w:t>1.0896</w:t>
            </w:r>
          </w:p>
        </w:tc>
        <w:tc>
          <w:tcPr>
            <w:tcW w:w="1276" w:type="dxa"/>
            <w:vAlign w:val="center"/>
          </w:tcPr>
          <w:p w:rsidR="00284AC6" w:rsidRDefault="00284AC6" w:rsidP="00284AC6"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</w:rPr>
              <w:t>1.0896</w:t>
            </w:r>
          </w:p>
        </w:tc>
        <w:tc>
          <w:tcPr>
            <w:tcW w:w="1275" w:type="dxa"/>
            <w:vAlign w:val="center"/>
          </w:tcPr>
          <w:p w:rsidR="00284AC6" w:rsidRDefault="00284AC6" w:rsidP="00284AC6"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</w:rPr>
              <w:t>1.0896</w:t>
            </w:r>
          </w:p>
        </w:tc>
        <w:tc>
          <w:tcPr>
            <w:tcW w:w="1418" w:type="dxa"/>
            <w:vAlign w:val="center"/>
          </w:tcPr>
          <w:p w:rsidR="00284AC6" w:rsidRDefault="00284AC6" w:rsidP="00284AC6"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</w:rPr>
              <w:t>3.35%</w:t>
            </w:r>
          </w:p>
        </w:tc>
        <w:tc>
          <w:tcPr>
            <w:tcW w:w="1828" w:type="dxa"/>
            <w:vAlign w:val="center"/>
          </w:tcPr>
          <w:p w:rsidR="00284AC6" w:rsidRDefault="00284AC6" w:rsidP="00284AC6"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</w:rPr>
              <w:t>2024-03-27至2024-04-23</w:t>
            </w:r>
          </w:p>
        </w:tc>
      </w:tr>
      <w:tr w:rsidR="00284AC6">
        <w:trPr>
          <w:jc w:val="center"/>
        </w:trPr>
        <w:tc>
          <w:tcPr>
            <w:tcW w:w="1461" w:type="dxa"/>
            <w:vAlign w:val="center"/>
          </w:tcPr>
          <w:p w:rsidR="00284AC6" w:rsidRDefault="00284AC6" w:rsidP="00284AC6"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</w:rPr>
              <w:t>2024-03-26</w:t>
            </w:r>
          </w:p>
        </w:tc>
        <w:tc>
          <w:tcPr>
            <w:tcW w:w="1134" w:type="dxa"/>
            <w:vAlign w:val="center"/>
          </w:tcPr>
          <w:p w:rsidR="00284AC6" w:rsidRDefault="00284AC6" w:rsidP="00284AC6"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</w:rPr>
              <w:t>1.0868</w:t>
            </w:r>
          </w:p>
        </w:tc>
        <w:tc>
          <w:tcPr>
            <w:tcW w:w="1134" w:type="dxa"/>
            <w:vAlign w:val="center"/>
          </w:tcPr>
          <w:p w:rsidR="00284AC6" w:rsidRDefault="00284AC6" w:rsidP="00284AC6"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</w:rPr>
              <w:t>1.0868</w:t>
            </w:r>
          </w:p>
        </w:tc>
        <w:tc>
          <w:tcPr>
            <w:tcW w:w="1276" w:type="dxa"/>
            <w:vAlign w:val="center"/>
          </w:tcPr>
          <w:p w:rsidR="00284AC6" w:rsidRDefault="00284AC6" w:rsidP="00284AC6"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</w:rPr>
              <w:t>1.0868</w:t>
            </w:r>
          </w:p>
        </w:tc>
        <w:tc>
          <w:tcPr>
            <w:tcW w:w="1275" w:type="dxa"/>
            <w:vAlign w:val="center"/>
          </w:tcPr>
          <w:p w:rsidR="00284AC6" w:rsidRDefault="00284AC6" w:rsidP="00284AC6"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</w:rPr>
              <w:t>1.0868</w:t>
            </w:r>
          </w:p>
        </w:tc>
        <w:tc>
          <w:tcPr>
            <w:tcW w:w="1418" w:type="dxa"/>
            <w:vAlign w:val="center"/>
          </w:tcPr>
          <w:p w:rsidR="00284AC6" w:rsidRDefault="00284AC6" w:rsidP="00284AC6"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</w:rPr>
              <w:t>2.</w:t>
            </w:r>
            <w:r>
              <w:rPr>
                <w:rFonts w:ascii="方正仿宋简体" w:eastAsia="方正仿宋简体" w:hAnsi="方正仿宋简体" w:cs="方正仿宋简体" w:hint="eastAsia"/>
              </w:rPr>
              <w:t>16</w:t>
            </w:r>
            <w:r>
              <w:rPr>
                <w:rFonts w:ascii="方正仿宋简体" w:eastAsia="方正仿宋简体" w:hAnsi="方正仿宋简体" w:cs="方正仿宋简体"/>
              </w:rPr>
              <w:t>%</w:t>
            </w:r>
          </w:p>
        </w:tc>
        <w:tc>
          <w:tcPr>
            <w:tcW w:w="1828" w:type="dxa"/>
            <w:vAlign w:val="center"/>
          </w:tcPr>
          <w:p w:rsidR="00284AC6" w:rsidRDefault="00284AC6" w:rsidP="00284AC6">
            <w:pPr>
              <w:widowControl w:val="0"/>
              <w:spacing w:beforeLines="20" w:afterLines="20"/>
              <w:jc w:val="center"/>
              <w:textAlignment w:val="center"/>
              <w:rPr>
                <w:rFonts w:ascii="方正仿宋简体" w:eastAsia="方正仿宋简体" w:hAnsi="仿宋_GB2312" w:cs="仿宋_GB2312"/>
                <w:bCs/>
                <w:szCs w:val="21"/>
              </w:rPr>
            </w:pPr>
            <w:r>
              <w:rPr>
                <w:rFonts w:ascii="方正仿宋简体" w:eastAsia="方正仿宋简体" w:hAnsi="方正仿宋简体" w:cs="方正仿宋简体"/>
              </w:rPr>
              <w:t>2024-02-2</w:t>
            </w:r>
            <w:r>
              <w:rPr>
                <w:rFonts w:ascii="方正仿宋简体" w:eastAsia="方正仿宋简体" w:hAnsi="方正仿宋简体" w:cs="方正仿宋简体" w:hint="eastAsia"/>
              </w:rPr>
              <w:t>8</w:t>
            </w:r>
            <w:r>
              <w:rPr>
                <w:rFonts w:ascii="方正仿宋简体" w:eastAsia="方正仿宋简体" w:hAnsi="方正仿宋简体" w:cs="方正仿宋简体"/>
              </w:rPr>
              <w:t>至2024-03-26</w:t>
            </w:r>
          </w:p>
        </w:tc>
      </w:tr>
    </w:tbl>
    <w:p w:rsidR="00B55BF8" w:rsidRDefault="00BD35D6">
      <w:pPr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注：1.本公告所提及的日是指除国家法定节假日和休息日（休息日包括周六、周日）外的日期。</w:t>
      </w:r>
    </w:p>
    <w:p w:rsidR="00B55BF8" w:rsidRDefault="00BD35D6">
      <w:pPr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 xml:space="preserve">    2.</w:t>
      </w:r>
      <w:r>
        <w:rPr>
          <w:rFonts w:ascii="方正仿宋简体" w:eastAsia="方正仿宋简体" w:hAnsi="仿宋_GB2312" w:cs="仿宋_GB2312" w:hint="eastAsia"/>
          <w:bCs/>
          <w:szCs w:val="21"/>
        </w:rPr>
        <w:t>申购/赎回起止日、申购/赎回确认日</w:t>
      </w:r>
      <w:r>
        <w:rPr>
          <w:rFonts w:ascii="方正仿宋简体" w:eastAsia="方正仿宋简体" w:hAnsi="仿宋_GB2312" w:cs="仿宋_GB2312" w:hint="eastAsia"/>
          <w:szCs w:val="21"/>
        </w:rPr>
        <w:t>如遇节假日将重新调整并公告，具体以公告为准。</w:t>
      </w:r>
    </w:p>
    <w:p w:rsidR="00B55BF8" w:rsidRDefault="00BD35D6">
      <w:pPr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lastRenderedPageBreak/>
        <w:t>3.本期投资运作参考年化收益率=（本期份额累计净值-上期份额累计净值）/上期份额净值/本期天数*365。</w:t>
      </w:r>
    </w:p>
    <w:p w:rsidR="00B55BF8" w:rsidRDefault="00BD35D6">
      <w:pPr>
        <w:ind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4.产品净值可能存在未扣除管理人及投资合作机构业绩报酬、赎回费等费用（如有）的情况，实际收益以兑付为准。</w:t>
      </w:r>
    </w:p>
    <w:p w:rsidR="00B55BF8" w:rsidRDefault="00BD35D6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如您对本公告有任何疑问，可联系本理财产品代销机构或本公司，代销机构及本公司将竭诚为您服务。感谢您一直以来对本公司的支持与信赖！</w:t>
      </w:r>
    </w:p>
    <w:p w:rsidR="00B55BF8" w:rsidRDefault="00BD35D6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特此公告。</w:t>
      </w:r>
    </w:p>
    <w:p w:rsidR="00B55BF8" w:rsidRDefault="00B55BF8">
      <w:pPr>
        <w:ind w:firstLineChars="200" w:firstLine="420"/>
        <w:rPr>
          <w:rFonts w:ascii="方正仿宋简体" w:eastAsia="方正仿宋简体" w:hAnsi="仿宋_GB2312" w:cs="仿宋_GB2312"/>
          <w:szCs w:val="21"/>
        </w:rPr>
      </w:pPr>
    </w:p>
    <w:p w:rsidR="00B55BF8" w:rsidRDefault="00BD35D6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B55BF8" w:rsidRDefault="00C2737F">
      <w:pPr>
        <w:widowControl w:val="0"/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 w:hint="eastAsia"/>
          <w:szCs w:val="21"/>
        </w:rPr>
        <w:t>2024年0</w:t>
      </w:r>
      <w:r w:rsidR="00284AC6">
        <w:rPr>
          <w:rFonts w:ascii="方正仿宋简体" w:eastAsia="方正仿宋简体" w:hAnsi="仿宋_GB2312" w:cs="仿宋_GB2312" w:hint="eastAsia"/>
          <w:szCs w:val="21"/>
        </w:rPr>
        <w:t>4</w:t>
      </w:r>
      <w:r>
        <w:rPr>
          <w:rFonts w:ascii="方正仿宋简体" w:eastAsia="方正仿宋简体" w:hAnsi="仿宋_GB2312" w:cs="仿宋_GB2312" w:hint="eastAsia"/>
          <w:szCs w:val="21"/>
        </w:rPr>
        <w:t>月2</w:t>
      </w:r>
      <w:r w:rsidR="00284AC6">
        <w:rPr>
          <w:rFonts w:ascii="方正仿宋简体" w:eastAsia="方正仿宋简体" w:hAnsi="仿宋_GB2312" w:cs="仿宋_GB2312" w:hint="eastAsia"/>
          <w:szCs w:val="21"/>
        </w:rPr>
        <w:t>4</w:t>
      </w:r>
      <w:r>
        <w:rPr>
          <w:rFonts w:ascii="方正仿宋简体" w:eastAsia="方正仿宋简体" w:hAnsi="仿宋_GB2312" w:cs="仿宋_GB2312" w:hint="eastAsia"/>
          <w:szCs w:val="21"/>
        </w:rPr>
        <w:t>日</w:t>
      </w:r>
      <w:r w:rsidR="00BD35D6">
        <w:rPr>
          <w:rFonts w:ascii="方正仿宋简体" w:eastAsia="方正仿宋简体" w:hAnsi="仿宋_GB2312" w:cs="仿宋_GB2312" w:hint="eastAsia"/>
          <w:szCs w:val="21"/>
        </w:rPr>
        <w:t xml:space="preserve">                                               </w:t>
      </w:r>
    </w:p>
    <w:p w:rsidR="00B55BF8" w:rsidRDefault="00B55BF8"/>
    <w:sectPr w:rsidR="00B55BF8" w:rsidSect="0073094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761" w:rsidRDefault="00F82761" w:rsidP="008018CA">
      <w:r>
        <w:separator/>
      </w:r>
    </w:p>
  </w:endnote>
  <w:endnote w:type="continuationSeparator" w:id="1">
    <w:p w:rsidR="00F82761" w:rsidRDefault="00F82761" w:rsidP="00801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761" w:rsidRDefault="00F82761" w:rsidP="008018CA">
      <w:r>
        <w:separator/>
      </w:r>
    </w:p>
  </w:footnote>
  <w:footnote w:type="continuationSeparator" w:id="1">
    <w:p w:rsidR="00F82761" w:rsidRDefault="00F82761" w:rsidP="008018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jYxZGU5ZDYwMWVhNzMyY2M5NDU5MzJjMDQyZGVjOGQifQ=="/>
  </w:docVars>
  <w:rsids>
    <w:rsidRoot w:val="00B55BF8"/>
    <w:rsid w:val="000B54F8"/>
    <w:rsid w:val="001D7C9F"/>
    <w:rsid w:val="00236B27"/>
    <w:rsid w:val="00243D50"/>
    <w:rsid w:val="00284AC6"/>
    <w:rsid w:val="00463518"/>
    <w:rsid w:val="0048759F"/>
    <w:rsid w:val="004C7547"/>
    <w:rsid w:val="005416D6"/>
    <w:rsid w:val="005B47F1"/>
    <w:rsid w:val="005B5E70"/>
    <w:rsid w:val="005D1EAA"/>
    <w:rsid w:val="00730940"/>
    <w:rsid w:val="00732F26"/>
    <w:rsid w:val="00744B25"/>
    <w:rsid w:val="008018CA"/>
    <w:rsid w:val="00B5034D"/>
    <w:rsid w:val="00B55BF8"/>
    <w:rsid w:val="00BD35D6"/>
    <w:rsid w:val="00BF23C6"/>
    <w:rsid w:val="00C122A1"/>
    <w:rsid w:val="00C2737F"/>
    <w:rsid w:val="00E122B0"/>
    <w:rsid w:val="00EB6BD2"/>
    <w:rsid w:val="00EC2602"/>
    <w:rsid w:val="00F82761"/>
    <w:rsid w:val="1A1964ED"/>
    <w:rsid w:val="25F10A83"/>
    <w:rsid w:val="31D14FEF"/>
    <w:rsid w:val="3897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0940"/>
    <w:pPr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01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018C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801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018C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糜格宇</cp:lastModifiedBy>
  <cp:revision>19</cp:revision>
  <dcterms:created xsi:type="dcterms:W3CDTF">2022-08-01T09:31:00Z</dcterms:created>
  <dcterms:modified xsi:type="dcterms:W3CDTF">2024-04-24T06:31:00Z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268D71D4CFB14B2EA5E76F3F89148870</vt:lpwstr>
  </property>
  <property fmtid="{D5CDD505-2E9C-101B-9397-08002B2CF9AE}" pid="4" name="_KSOProductBuildMID">
    <vt:lpwstr>CZWMK6BV7RSA00BGQPR80L007NMMO7VR9S0XOJDWXGPRTG5TZ8BJQCJFFYSHP8IRBEMXOOL9ZH078LJJRUFTDFF78RLMWHLBANOOIHB3EBB0ADD72260CFF8DC178439A45BEF8C</vt:lpwstr>
  </property>
  <property fmtid="{D5CDD505-2E9C-101B-9397-08002B2CF9AE}" pid="5" name="_KSOProductBuildSID">
    <vt:lpwstr>CZWFI6BV79TQ05BGQKR8RL0D7N8MOSYR9X0XLJDWXFBRTQWTZ6BJQCJAFSVHPFIRBEMX5OZMZIW78MXJROFTYF8D89CMWMLB8EODQHB30AB5076481E15101802FD0DE44F91E7A</vt:lpwstr>
  </property>
</Properties>
</file>