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南银理财珠联璧合安稳1907一年定开公募人民币理财产品（ZD33003）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2026年10月08日</w:t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南银理财安稳1907一年定开-D4份额（自动赎回）（产品登记编码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Z7003221000024</w:t>
      </w:r>
      <w:r>
        <w:rPr>
          <w:rFonts w:ascii="方正仿宋简体" w:eastAsia="方正仿宋简体" w:hAnsi="仿宋_GB2312" w:cs="仿宋_GB2312" w:hint="eastAsia"/>
          <w:szCs w:val="21"/>
        </w:rPr>
        <w:t>，内部销售代码ZD33003）于2026年09月24日至2026年10月08日开放赎回。</w:t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/>
      </w:r>
      <w:r w:rsidR="00EB6BD2">
        <w:rPr>
          <w:rFonts w:ascii="方正仿宋简体" w:eastAsia="方正仿宋简体" w:hAnsi="仿宋_GB2312" w:cs="仿宋_GB2312" w:hint="eastAsia"/>
          <w:szCs w:val="21"/>
        </w:rPr>
        <w:t xml:space="preserve"/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/>
      </w:r>
      <w:r w:rsidR="000B54F8">
        <w:rPr>
          <w:rFonts w:ascii="方正仿宋简体" w:eastAsia="方正仿宋简体" w:hAnsi="仿宋_GB2312" w:cs="仿宋_GB2312" w:hint="eastAsia"/>
          <w:szCs w:val="21"/>
        </w:rPr>
        <w:t xml:space="preserve"/>
      </w:r>
      <w:r w:rsidR="004C7547">
        <w:rPr>
          <w:rFonts w:ascii="方正仿宋简体" w:eastAsia="方正仿宋简体" w:hAnsi="仿宋_GB2312" w:cs="仿宋_GB2312"/>
          <w:szCs w:val="21"/>
        </w:rPr>
        <w:t xml:space="preserve"/>
      </w:r>
      <w:r w:rsidR="00EC2602">
        <w:rPr>
          <w:rFonts w:ascii="方正仿宋简体" w:eastAsia="方正仿宋简体" w:hAnsi="仿宋_GB2312" w:cs="仿宋_GB2312" w:hint="eastAsia"/>
          <w:szCs w:val="21"/>
        </w:rPr>
        <w:t xml:space="preserve"/>
      </w:r>
      <w:r w:rsidR="00EC2602">
        <w:rPr>
          <w:rFonts w:ascii="方正仿宋简体" w:eastAsia="方正仿宋简体" w:hAnsi="仿宋_GB2312" w:cs="仿宋_GB2312"/>
          <w:szCs w:val="21"/>
        </w:rPr>
        <w:t xml:space="preserve"/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/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-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-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-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 w:rsidR="00732F26" w14:paraId="4892635A" w14:textId="4A966634" w:rsidTr="005B47F1">
        <w:trPr>
          <w:jc w:val="center"/>
        </w:trPr>
        <w:tc>
          <w:tcPr>
            <w:tcW w:w="1461" w:type="dxa"/>
            <w:vAlign w:val="center"/>
          </w:tcPr>
          <w:p w14:paraId="4D150D29" w14:textId="375ED295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2026-10-08</w:t>
            </w:r>
          </w:p>
        </w:tc>
        <w:tc>
          <w:tcPr>
            <w:tcW w:w="1134" w:type="dxa"/>
            <w:vAlign w:val="center"/>
          </w:tcPr>
          <w:p w14:paraId="3B92A838" w14:textId="2AFE80ED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1.0317</w:t>
            </w:r>
          </w:p>
        </w:tc>
        <w:tc>
          <w:tcPr>
            <w:tcW w:w="1134" w:type="dxa"/>
            <w:vAlign w:val="center"/>
          </w:tcPr>
          <w:p w14:paraId="20B805AB" w14:textId="5DA43284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1.0317</w:t>
            </w:r>
          </w:p>
        </w:tc>
        <w:tc>
          <w:tcPr>
            <w:tcW w:w="1276" w:type="dxa"/>
            <w:vAlign w:val="center"/>
          </w:tcPr>
          <w:p w14:paraId="2EC5645C" w14:textId="4CB32BE8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1.0317</w:t>
            </w:r>
          </w:p>
        </w:tc>
        <w:tc>
          <w:tcPr>
            <w:tcW w:w="1275" w:type="dxa"/>
            <w:vAlign w:val="center"/>
          </w:tcPr>
          <w:p w14:paraId="403CF229" w14:textId="2F222E2F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  <w:tc>
          <w:tcPr>
            <w:tcW w:w="1418" w:type="dxa"/>
            <w:vAlign w:val="center"/>
          </w:tcPr>
          <w:p w14:paraId="350BB080" w14:textId="2E4258EE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2.94%</w:t>
            </w:r>
          </w:p>
        </w:tc>
        <w:tc>
          <w:tcPr>
            <w:tcW w:w="1828" w:type="dxa"/>
            <w:vAlign w:val="center"/>
          </w:tcPr>
          <w:p w14:paraId="53335C3C" w14:textId="1BFC911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2025-09-11至2026-10-08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2026年10月09日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