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7043" w14:textId="77777777" w:rsidR="00BF65D2" w:rsidRDefault="006B27EB">
      <w:pPr>
        <w:jc w:val="center"/>
        <w:rPr>
          <w:rFonts w:ascii="方正黑体简体" w:eastAsia="方正黑体简体" w:hAnsi="仿宋_GB2312" w:cs="仿宋_GB2312"/>
          <w:b/>
          <w:bCs/>
          <w:szCs w:val="28"/>
        </w:rPr>
      </w:pPr>
      <w:r>
        <w:rPr>
          <w:rFonts w:ascii="方正黑体简体" w:eastAsia="方正黑体简体" w:hAnsi="仿宋_GB2312" w:cs="仿宋_GB2312"/>
          <w:b/>
          <w:bCs/>
          <w:szCs w:val="28"/>
        </w:rPr>
        <w:t xml:space="preserve">            </w:t>
      </w:r>
      <w:r w:rsidR="00192AF4">
        <w:rPr>
          <w:rFonts w:ascii="方正黑体简体" w:eastAsia="方正黑体简体" w:hAnsi="仿宋_GB2312" w:cs="仿宋_GB2312" w:hint="eastAsia"/>
          <w:b/>
          <w:bCs/>
          <w:szCs w:val="28"/>
        </w:rPr>
        <w:t/>
      </w:r>
      <w:r w:rsidR="00192AF4">
        <w:rPr>
          <w:rFonts w:ascii="方正黑体简体" w:eastAsia="方正黑体简体" w:hAnsi="仿宋_GB2312" w:cs="仿宋_GB2312"/>
          <w:b/>
          <w:bCs/>
          <w:szCs w:val="28"/>
        </w:rPr>
        <w:t>南银理财欣投优选3期私募人民币理财产品</w:t>
      </w:r>
      <w:r w:rsidR="00E3013E">
        <w:rPr>
          <w:rFonts w:ascii="方正黑体简体" w:eastAsia="方正黑体简体" w:hAnsi="仿宋_GB2312" w:cs="仿宋_GB2312" w:hint="eastAsia"/>
          <w:b/>
          <w:bCs/>
          <w:szCs w:val="28"/>
        </w:rPr>
        <w:t/>
      </w:r>
      <w:r w:rsidR="00E3013E">
        <w:rPr>
          <w:rFonts w:ascii="方正黑体简体" w:eastAsia="方正黑体简体" w:hAnsi="仿宋_GB2312" w:cs="仿宋_GB2312"/>
          <w:b/>
          <w:bCs/>
          <w:szCs w:val="28"/>
        </w:rPr>
        <w:t/>
      </w:r>
      <w:r w:rsidR="00857A78">
        <w:rPr>
          <w:rFonts w:ascii="方正黑体简体" w:eastAsia="方正黑体简体" w:hAnsi="仿宋_GB2312" w:cs="仿宋_GB2312" w:hint="eastAsia"/>
          <w:b/>
          <w:bCs/>
          <w:szCs w:val="28"/>
        </w:rPr>
        <w:t>2026年06月16日开放及净值报告</w:t>
      </w:r>
    </w:p>
    <w:p w14:paraId="797E7BE6" w14:textId="77777777" w:rsidR="00BF65D2" w:rsidRDefault="00857A78">
      <w:pPr>
        <w:widowControl w:val="0"/>
        <w:spacing w:line="360" w:lineRule="auto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10D0D692" w14:textId="32F41068" w:rsidR="00BF65D2" w:rsidRPr="00870BF2" w:rsidRDefault="00857A78" w:rsidP="00870BF2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南银理财欣投优选3期私募人民币理财产品（产品登记编码</w:t>
      </w:r>
      <w:r w:rsidR="0037403F">
        <w:rPr>
          <w:rFonts w:ascii="方正仿宋简体" w:eastAsia="方正仿宋简体" w:hAnsi="仿宋_GB2312" w:cs="仿宋_GB2312" w:hint="eastAsia"/>
          <w:szCs w:val="21"/>
        </w:rPr>
        <w:t/>
      </w:r>
      <w:r w:rsidR="00DF22E4">
        <w:rPr>
          <w:rFonts w:ascii="方正仿宋简体" w:eastAsia="方正仿宋简体" w:hAnsi="仿宋_GB2312" w:cs="仿宋_GB2312" w:hint="eastAsia"/>
          <w:szCs w:val="21"/>
        </w:rPr>
        <w:t/>
      </w:r>
      <w:r w:rsidR="00DF22E4">
        <w:rPr>
          <w:rFonts w:ascii="方正仿宋简体" w:eastAsia="方正仿宋简体" w:hAnsi="仿宋_GB2312" w:cs="仿宋_GB2312"/>
          <w:szCs w:val="21"/>
        </w:rPr>
        <w:t>Z7003221A000077</w:t>
      </w:r>
      <w:r>
        <w:rPr>
          <w:rFonts w:ascii="方正仿宋简体" w:eastAsia="方正仿宋简体" w:hAnsi="仿宋_GB2312" w:cs="仿宋_GB2312" w:hint="eastAsia"/>
          <w:szCs w:val="21"/>
        </w:rPr>
        <w:t>，内部销售代码</w:t>
      </w:r>
      <w:r w:rsidR="00E3013E">
        <w:rPr>
          <w:rFonts w:ascii="方正仿宋简体" w:eastAsia="方正仿宋简体" w:hAnsi="仿宋_GB2312" w:cs="仿宋_GB2312" w:hint="eastAsia"/>
          <w:szCs w:val="21"/>
        </w:rPr>
        <w:t/>
      </w:r>
      <w:r>
        <w:rPr>
          <w:rFonts w:ascii="方正仿宋简体" w:eastAsia="方正仿宋简体" w:hAnsi="仿宋_GB2312" w:cs="仿宋_GB2312" w:hint="eastAsia"/>
          <w:szCs w:val="21"/>
        </w:rPr>
        <w:t>S60003）</w:t>
      </w: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776"/>
        <w:gridCol w:w="1759"/>
        <w:gridCol w:w="1906"/>
        <w:gridCol w:w="2085"/>
      </w:tblGrid>
      <w:tr w:rsidR="00BF65D2" w14:paraId="1B528EF4" w14:textId="77777777" w:rsidTr="007A011F">
        <w:trPr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DE50" w14:textId="77777777" w:rsidR="00BF65D2" w:rsidRDefault="00857A78" w:rsidP="007A011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5D6E" w14:textId="77777777" w:rsidR="00BF65D2" w:rsidRDefault="00857A78" w:rsidP="007A011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</w:t>
            </w: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冷静期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231E8" w14:textId="77777777" w:rsidR="00BF65D2" w:rsidRDefault="00857A78" w:rsidP="007A011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16F2A" w14:textId="77777777" w:rsidR="00BF65D2" w:rsidRDefault="00857A78" w:rsidP="007A011F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2026-12-09至2026-12-15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2026-12-16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2026-12-17</w:t>
            </w:r>
          </w:p>
        </w:tc>
      </w:tr>
    </w:tbl>
    <w:p w14:paraId="4D2B01CC" w14:textId="77777777" w:rsidR="00BF65D2" w:rsidRDefault="00BF65D2">
      <w:pPr>
        <w:rPr>
          <w:rFonts w:ascii="方正仿宋简体" w:eastAsia="方正仿宋简体" w:hAnsi="仿宋_GB2312" w:cs="仿宋_GB2312"/>
          <w:szCs w:val="21"/>
        </w:rPr>
      </w:pPr>
    </w:p>
    <w:p w14:paraId="05F0C428" w14:textId="77777777" w:rsidR="00BF65D2" w:rsidRPr="00EE0AD8" w:rsidRDefault="00857A78" w:rsidP="00EE0AD8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 w:rsidRPr="00EE0AD8">
        <w:rPr>
          <w:rFonts w:ascii="方正仿宋简体" w:eastAsia="方正仿宋简体" w:hAnsi="仿宋_GB2312" w:cs="仿宋_GB2312" w:hint="eastAsia"/>
          <w:bCs/>
          <w:szCs w:val="21"/>
        </w:rPr>
        <w:t>本期净值信息：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017"/>
        <w:gridCol w:w="1036"/>
        <w:gridCol w:w="1207"/>
        <w:gridCol w:w="1276"/>
        <w:gridCol w:w="1417"/>
        <w:gridCol w:w="2112"/>
      </w:tblGrid>
      <w:tr w:rsidR="007A011F" w14:paraId="22FCF6D2" w14:textId="77777777" w:rsidTr="003B1752">
        <w:trPr>
          <w:jc w:val="center"/>
        </w:trPr>
        <w:tc>
          <w:tcPr>
            <w:tcW w:w="1461" w:type="dxa"/>
            <w:vAlign w:val="center"/>
          </w:tcPr>
          <w:p w14:paraId="4213F35F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017" w:type="dxa"/>
            <w:vAlign w:val="center"/>
          </w:tcPr>
          <w:p w14:paraId="126C55F0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036" w:type="dxa"/>
            <w:vAlign w:val="center"/>
          </w:tcPr>
          <w:p w14:paraId="6129842B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07" w:type="dxa"/>
            <w:vAlign w:val="center"/>
          </w:tcPr>
          <w:p w14:paraId="10C0575E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6" w:type="dxa"/>
            <w:vAlign w:val="center"/>
          </w:tcPr>
          <w:p w14:paraId="3DE45A49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7" w:type="dxa"/>
            <w:vAlign w:val="center"/>
          </w:tcPr>
          <w:p w14:paraId="7C6871A4" w14:textId="77777777" w:rsidR="007A011F" w:rsidRDefault="007A011F" w:rsidP="007A011F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2112" w:type="dxa"/>
            <w:vAlign w:val="center"/>
          </w:tcPr>
          <w:p w14:paraId="4DDC9996" w14:textId="77777777" w:rsidR="007A011F" w:rsidRDefault="007A011F" w:rsidP="007A011F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2026-06-16</w:t>
            </w:r>
          </w:p>
        </w:tc>
        <w:tc>
          <w:tcPr>
            <w:tcW w:w="1017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1.0222</w:t>
            </w:r>
          </w:p>
        </w:tc>
        <w:tc>
          <w:tcPr>
            <w:tcW w:w="103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1.0222</w:t>
            </w:r>
          </w:p>
        </w:tc>
        <w:tc>
          <w:tcPr>
            <w:tcW w:w="1207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1.0222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1.0222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12.95%</w:t>
            </w:r>
          </w:p>
        </w:tc>
        <w:tc>
          <w:tcPr>
            <w:tcW w:w="2112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2025-12-18至2026-06-16</w:t>
            </w:r>
          </w:p>
        </w:tc>
      </w:tr>
    </w:tbl>
    <w:p w14:paraId="181980C2" w14:textId="77777777" w:rsidR="00BF65D2" w:rsidRDefault="00BF65D2">
      <w:pPr>
        <w:rPr>
          <w:rFonts w:ascii="方正仿宋简体" w:eastAsia="方正仿宋简体" w:hAnsi="仿宋_GB2312" w:cs="仿宋_GB2312"/>
          <w:szCs w:val="21"/>
        </w:rPr>
      </w:pPr>
    </w:p>
    <w:p w14:paraId="256D42CF" w14:textId="77777777" w:rsidR="00BF65D2" w:rsidRDefault="00857A78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注：1.本报告所提及的日是指除国家法定节假日和休息日（休息日包括周六、周日）外的日期。</w:t>
      </w:r>
    </w:p>
    <w:p w14:paraId="6BA8B8BE" w14:textId="77777777" w:rsidR="00BF65D2" w:rsidRDefault="00857A78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2.申购冷静期：是指在该期限内，如果投资者改变决定，本公司应当遵从投资者意愿，解除已签订的销售文件，并及时退还投资者的全部投资款项。</w:t>
      </w:r>
    </w:p>
    <w:p w14:paraId="42C43E0B" w14:textId="77777777" w:rsidR="00BF65D2" w:rsidRDefault="00857A78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3.本期投资运作参考年化收益率=（本期份额累计净值-上期份额累计净值）/上期份额净值/本期天数*365。 </w:t>
      </w:r>
    </w:p>
    <w:p w14:paraId="7D8D10EC" w14:textId="77777777" w:rsidR="00BF65D2" w:rsidRDefault="00857A78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</w:t>
      </w:r>
      <w:r>
        <w:rPr>
          <w:rFonts w:ascii="方正仿宋简体" w:eastAsia="方正仿宋简体" w:hAnsi="仿宋_GB2312" w:cs="仿宋_GB2312" w:hint="eastAsia"/>
          <w:szCs w:val="21"/>
        </w:rPr>
        <w:t>申购</w:t>
      </w:r>
      <w:r>
        <w:rPr>
          <w:rFonts w:ascii="方正仿宋简体" w:eastAsia="方正仿宋简体" w:hAnsi="仿宋_GB2312" w:cs="仿宋_GB2312" w:hint="eastAsia"/>
          <w:bCs/>
          <w:szCs w:val="21"/>
        </w:rPr>
        <w:t>冷静期、申购/赎回确认日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如遇节假日将重新调整并报告，具体以报告为准。</w:t>
      </w:r>
    </w:p>
    <w:p w14:paraId="27CF2147" w14:textId="77777777" w:rsidR="00BF65D2" w:rsidRDefault="00857A78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5.产品净值可能存在未扣除管理人及投资合作机构业绩报酬、赎回费等费用（如有）的情况，实际收益以兑付为准。</w:t>
      </w:r>
    </w:p>
    <w:p w14:paraId="503C57DD" w14:textId="77777777" w:rsidR="00BF65D2" w:rsidRDefault="00857A7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如您对本报告有任何疑问，可联系本理财产品代销机构或本公司，代销机构及本公司将竭诚为您服务。感谢您一直以来对本公司的支持与信赖！</w:t>
      </w:r>
    </w:p>
    <w:p w14:paraId="3603A688" w14:textId="77777777" w:rsidR="00BF65D2" w:rsidRDefault="00857A7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特此报告。</w:t>
      </w:r>
    </w:p>
    <w:p w14:paraId="451882CD" w14:textId="77777777" w:rsidR="00BF65D2" w:rsidRDefault="00BF65D2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585ED2AE" w14:textId="77777777" w:rsidR="00BF65D2" w:rsidRDefault="00857A78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南银理财有限责任公司</w:t>
      </w:r>
    </w:p>
    <w:p w14:paraId="522B3064" w14:textId="3EF80A6F" w:rsidR="00BF65D2" w:rsidRPr="00D102BA" w:rsidRDefault="00857A78" w:rsidP="00D102BA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2026年06月17日</w:t>
      </w:r>
    </w:p>
    <w:sectPr w:rsidR="00BF65D2" w:rsidRPr="00D102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F65D2"/>
    <w:rsid w:val="00192AF4"/>
    <w:rsid w:val="0037403F"/>
    <w:rsid w:val="006B27EB"/>
    <w:rsid w:val="007A011F"/>
    <w:rsid w:val="00857A78"/>
    <w:rsid w:val="00870BF2"/>
    <w:rsid w:val="008A76EB"/>
    <w:rsid w:val="00BF65D2"/>
    <w:rsid w:val="00C26DA5"/>
    <w:rsid w:val="00D102BA"/>
    <w:rsid w:val="00D5156D"/>
    <w:rsid w:val="00DF22E4"/>
    <w:rsid w:val="00E3013E"/>
    <w:rsid w:val="00EE0AD8"/>
    <w:rsid w:val="1079333C"/>
    <w:rsid w:val="17805532"/>
    <w:rsid w:val="2C6E5FBA"/>
    <w:rsid w:val="496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4CE60"/>
  <w15:docId w15:val="{A61694ED-D46E-418A-8FAD-442A2447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FE9D6171858B460091C8765F5A450EBE</vt:lpwstr>
  </property>
</Properties>
</file>