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widowControl/>
        <w:adjustRightInd w:val="0"/>
        <w:snapToGrid w:val="0"/>
        <w:spacing w:line="540" w:lineRule="atLeast"/>
        <w:jc w:val="center"/>
        <w:outlineLvl w:val="2"/>
        <w:rPr>
          <w:rFonts w:hint="eastAsia" w:ascii="宋体" w:hAnsi="宋体" w:eastAsia="宋体" w:cs="宋体"/>
          <w:b/>
          <w:bCs/>
          <w:sz w:val="32"/>
          <w:szCs w:val="32"/>
        </w:rPr>
      </w:pPr>
      <w:bookmarkStart w:id="0" w:name="_GoBack"/>
      <w:r>
        <w:rPr>
          <w:rFonts w:hint="eastAsia" w:ascii="宋体" w:hAnsi="宋体" w:eastAsia="宋体" w:cs="宋体"/>
          <w:b/>
          <w:bCs/>
          <w:sz w:val="36"/>
          <w:szCs w:val="36"/>
        </w:rPr>
        <w:t>《太保鑫相伴（2025）终身寿险》承保规则</w:t>
      </w:r>
      <w:bookmarkEnd w:id="0"/>
    </w:p>
    <w:p>
      <w:pPr>
        <w:keepNext/>
        <w:widowControl/>
        <w:adjustRightInd w:val="0"/>
        <w:snapToGrid w:val="0"/>
        <w:spacing w:line="540" w:lineRule="atLeast"/>
        <w:jc w:val="center"/>
        <w:outlineLvl w:val="2"/>
        <w:rPr>
          <w:rFonts w:hint="eastAsia" w:ascii="仿宋_GB2312" w:hAnsi="仿宋_GB2312" w:eastAsia="仿宋_GB2312" w:cs="仿宋_GB2312"/>
          <w:b/>
          <w:bCs/>
          <w:sz w:val="32"/>
          <w:szCs w:val="32"/>
        </w:rPr>
      </w:pPr>
    </w:p>
    <w:p>
      <w:pPr>
        <w:adjustRightInd w:val="0"/>
        <w:snapToGrid w:val="0"/>
        <w:spacing w:line="540" w:lineRule="atLeast"/>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说明：本规则适用于银行客户中心销售的《太保鑫相伴（2025）终身寿险》，未涉及之规定以</w:t>
      </w:r>
      <w:r>
        <w:rPr>
          <w:rFonts w:hint="eastAsia" w:ascii="仿宋_GB2312" w:hAnsi="仿宋_GB2312" w:eastAsia="仿宋_GB2312" w:cs="仿宋_GB2312"/>
          <w:sz w:val="30"/>
          <w:szCs w:val="30"/>
          <w:lang w:val="zh-CN"/>
        </w:rPr>
        <w:t>《关于修订〈中国太平洋人寿保险股份有限公司个人人身保险核保规程〉的通知》</w:t>
      </w:r>
      <w:r>
        <w:rPr>
          <w:rFonts w:hint="eastAsia" w:ascii="仿宋_GB2312" w:hAnsi="仿宋_GB2312" w:eastAsia="仿宋_GB2312" w:cs="仿宋_GB2312"/>
          <w:sz w:val="30"/>
          <w:szCs w:val="30"/>
        </w:rPr>
        <w:t>等公司在用核保规定为准。</w:t>
      </w:r>
    </w:p>
    <w:p>
      <w:pPr>
        <w:adjustRightInd w:val="0"/>
        <w:snapToGrid w:val="0"/>
        <w:spacing w:line="540" w:lineRule="atLeast"/>
        <w:ind w:firstLine="601" w:firstLineChars="200"/>
        <w:rPr>
          <w:rFonts w:hint="eastAsia" w:ascii="仿宋_GB2312" w:hAnsi="仿宋_GB2312" w:eastAsia="仿宋_GB2312" w:cs="仿宋_GB2312"/>
          <w:b/>
          <w:sz w:val="30"/>
          <w:szCs w:val="30"/>
        </w:rPr>
      </w:pPr>
      <w:r>
        <w:rPr>
          <w:rFonts w:hint="eastAsia" w:ascii="仿宋_GB2312" w:hAnsi="仿宋_GB2312" w:eastAsia="仿宋_GB2312" w:cs="仿宋_GB2312"/>
          <w:b/>
          <w:sz w:val="30"/>
          <w:szCs w:val="30"/>
        </w:rPr>
        <w:t>一、适用范围</w:t>
      </w:r>
    </w:p>
    <w:p>
      <w:pPr>
        <w:adjustRightInd w:val="0"/>
        <w:snapToGrid w:val="0"/>
        <w:spacing w:line="540" w:lineRule="atLeast"/>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1.适用条线：银行客户中心。</w:t>
      </w:r>
    </w:p>
    <w:p>
      <w:pPr>
        <w:adjustRightInd w:val="0"/>
        <w:snapToGrid w:val="0"/>
        <w:spacing w:line="540" w:lineRule="atLeast"/>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2.适用场景：通过“银保通、网上银行、手机银行、银行自助终端、神行太保”投保录单的业务，以及支持转核的投保场景。</w:t>
      </w:r>
    </w:p>
    <w:p>
      <w:pPr>
        <w:adjustRightInd w:val="0"/>
        <w:snapToGrid w:val="0"/>
        <w:spacing w:line="540" w:lineRule="atLeast"/>
        <w:ind w:firstLine="601" w:firstLineChars="200"/>
        <w:rPr>
          <w:rFonts w:hint="eastAsia" w:ascii="仿宋_GB2312" w:hAnsi="仿宋_GB2312" w:eastAsia="仿宋_GB2312" w:cs="仿宋_GB2312"/>
          <w:b/>
          <w:sz w:val="30"/>
          <w:szCs w:val="30"/>
        </w:rPr>
      </w:pPr>
      <w:r>
        <w:rPr>
          <w:rFonts w:hint="eastAsia" w:ascii="仿宋_GB2312" w:hAnsi="仿宋_GB2312" w:eastAsia="仿宋_GB2312" w:cs="仿宋_GB2312"/>
          <w:b/>
          <w:sz w:val="30"/>
          <w:szCs w:val="30"/>
        </w:rPr>
        <w:t>二、通用规则</w:t>
      </w:r>
    </w:p>
    <w:p>
      <w:pPr>
        <w:adjustRightInd w:val="0"/>
        <w:snapToGrid w:val="0"/>
        <w:spacing w:line="540" w:lineRule="atLeast"/>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1.投保年龄：出生满30天至75周岁。</w:t>
      </w:r>
    </w:p>
    <w:p>
      <w:pPr>
        <w:adjustRightInd w:val="0"/>
        <w:snapToGrid w:val="0"/>
        <w:spacing w:line="540" w:lineRule="atLeast"/>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2.保险期间：终身。</w:t>
      </w:r>
    </w:p>
    <w:p>
      <w:pPr>
        <w:adjustRightInd w:val="0"/>
        <w:snapToGrid w:val="0"/>
        <w:spacing w:line="540" w:lineRule="atLeast"/>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3.交费方式：趸交或限期年交（3年、5年、10年交清）。</w:t>
      </w:r>
    </w:p>
    <w:tbl>
      <w:tblPr>
        <w:tblStyle w:val="4"/>
        <w:tblW w:w="779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2462"/>
        <w:gridCol w:w="2920"/>
        <w:gridCol w:w="2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Ex>
        <w:trPr>
          <w:jc w:val="center"/>
        </w:trPr>
        <w:tc>
          <w:tcPr>
            <w:tcW w:w="2462" w:type="dxa"/>
            <w:vAlign w:val="center"/>
          </w:tcPr>
          <w:p>
            <w:pPr>
              <w:keepNext w:val="0"/>
              <w:keepLines w:val="0"/>
              <w:numPr>
                <w:ilvl w:val="255"/>
                <w:numId w:val="0"/>
              </w:numPr>
              <w:suppressLineNumbers w:val="0"/>
              <w:adjustRightInd w:val="0"/>
              <w:snapToGrid w:val="0"/>
              <w:spacing w:before="0" w:beforeAutospacing="0" w:after="0" w:afterAutospacing="0" w:line="540" w:lineRule="atLeast"/>
              <w:ind w:left="0" w:right="0"/>
              <w:jc w:val="center"/>
              <w:rPr>
                <w:rFonts w:hint="eastAsia" w:ascii="仿宋_GB2312" w:hAnsi="仿宋_GB2312" w:eastAsia="仿宋_GB2312" w:cs="仿宋_GB2312"/>
                <w:b/>
                <w:bCs/>
                <w:sz w:val="22"/>
              </w:rPr>
            </w:pPr>
            <w:r>
              <w:rPr>
                <w:rFonts w:hint="eastAsia" w:ascii="仿宋_GB2312" w:hAnsi="仿宋_GB2312" w:eastAsia="仿宋_GB2312" w:cs="仿宋_GB2312"/>
                <w:b/>
                <w:bCs/>
                <w:sz w:val="22"/>
              </w:rPr>
              <w:t>交费方式</w:t>
            </w:r>
          </w:p>
        </w:tc>
        <w:tc>
          <w:tcPr>
            <w:tcW w:w="2920" w:type="dxa"/>
            <w:vAlign w:val="center"/>
          </w:tcPr>
          <w:p>
            <w:pPr>
              <w:keepNext w:val="0"/>
              <w:keepLines w:val="0"/>
              <w:numPr>
                <w:ilvl w:val="255"/>
                <w:numId w:val="0"/>
              </w:numPr>
              <w:suppressLineNumbers w:val="0"/>
              <w:adjustRightInd w:val="0"/>
              <w:snapToGrid w:val="0"/>
              <w:spacing w:before="0" w:beforeAutospacing="0" w:after="0" w:afterAutospacing="0" w:line="540" w:lineRule="atLeast"/>
              <w:ind w:left="0" w:right="0"/>
              <w:jc w:val="center"/>
              <w:rPr>
                <w:rFonts w:hint="eastAsia" w:ascii="仿宋_GB2312" w:hAnsi="仿宋_GB2312" w:eastAsia="仿宋_GB2312" w:cs="仿宋_GB2312"/>
                <w:b/>
                <w:bCs/>
                <w:sz w:val="22"/>
              </w:rPr>
            </w:pPr>
            <w:r>
              <w:rPr>
                <w:rFonts w:hint="eastAsia" w:ascii="仿宋_GB2312" w:hAnsi="仿宋_GB2312" w:eastAsia="仿宋_GB2312" w:cs="仿宋_GB2312"/>
                <w:b/>
                <w:bCs/>
                <w:sz w:val="22"/>
              </w:rPr>
              <w:t>投保年龄（男）</w:t>
            </w:r>
          </w:p>
        </w:tc>
        <w:tc>
          <w:tcPr>
            <w:tcW w:w="2417" w:type="dxa"/>
            <w:vAlign w:val="center"/>
          </w:tcPr>
          <w:p>
            <w:pPr>
              <w:keepNext w:val="0"/>
              <w:keepLines w:val="0"/>
              <w:numPr>
                <w:ilvl w:val="255"/>
                <w:numId w:val="0"/>
              </w:numPr>
              <w:suppressLineNumbers w:val="0"/>
              <w:adjustRightInd w:val="0"/>
              <w:snapToGrid w:val="0"/>
              <w:spacing w:before="0" w:beforeAutospacing="0" w:after="0" w:afterAutospacing="0" w:line="540" w:lineRule="atLeast"/>
              <w:ind w:left="0" w:right="0"/>
              <w:jc w:val="center"/>
              <w:rPr>
                <w:rFonts w:hint="eastAsia" w:ascii="仿宋_GB2312" w:hAnsi="仿宋_GB2312" w:eastAsia="仿宋_GB2312" w:cs="仿宋_GB2312"/>
              </w:rPr>
            </w:pPr>
            <w:r>
              <w:rPr>
                <w:rFonts w:hint="eastAsia" w:ascii="仿宋_GB2312" w:hAnsi="仿宋_GB2312" w:eastAsia="仿宋_GB2312" w:cs="仿宋_GB2312"/>
                <w:b/>
                <w:bCs/>
                <w:sz w:val="22"/>
              </w:rPr>
              <w:t>投保年龄（女）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Ex>
        <w:trPr>
          <w:jc w:val="center"/>
        </w:trPr>
        <w:tc>
          <w:tcPr>
            <w:tcW w:w="2462" w:type="dxa"/>
            <w:vAlign w:val="center"/>
          </w:tcPr>
          <w:p>
            <w:pPr>
              <w:keepNext w:val="0"/>
              <w:keepLines w:val="0"/>
              <w:numPr>
                <w:ilvl w:val="255"/>
                <w:numId w:val="0"/>
              </w:numPr>
              <w:suppressLineNumbers w:val="0"/>
              <w:adjustRightInd w:val="0"/>
              <w:snapToGrid w:val="0"/>
              <w:spacing w:before="0" w:beforeAutospacing="0" w:after="0" w:afterAutospacing="0" w:line="540" w:lineRule="atLeast"/>
              <w:ind w:left="0" w:right="0"/>
              <w:jc w:val="center"/>
              <w:rPr>
                <w:rFonts w:hint="eastAsia" w:ascii="仿宋_GB2312" w:hAnsi="仿宋_GB2312" w:eastAsia="仿宋_GB2312" w:cs="仿宋_GB2312"/>
                <w:sz w:val="22"/>
              </w:rPr>
            </w:pPr>
            <w:r>
              <w:rPr>
                <w:rFonts w:hint="eastAsia" w:ascii="仿宋_GB2312" w:hAnsi="仿宋_GB2312" w:eastAsia="仿宋_GB2312" w:cs="仿宋_GB2312"/>
                <w:sz w:val="22"/>
              </w:rPr>
              <w:t>趸缴</w:t>
            </w:r>
          </w:p>
        </w:tc>
        <w:tc>
          <w:tcPr>
            <w:tcW w:w="2920" w:type="dxa"/>
            <w:vAlign w:val="center"/>
          </w:tcPr>
          <w:p>
            <w:pPr>
              <w:keepNext w:val="0"/>
              <w:keepLines w:val="0"/>
              <w:numPr>
                <w:ilvl w:val="255"/>
                <w:numId w:val="0"/>
              </w:numPr>
              <w:suppressLineNumbers w:val="0"/>
              <w:adjustRightInd w:val="0"/>
              <w:snapToGrid w:val="0"/>
              <w:spacing w:before="0" w:beforeAutospacing="0" w:after="0" w:afterAutospacing="0" w:line="540" w:lineRule="atLeast"/>
              <w:ind w:left="0" w:right="0"/>
              <w:jc w:val="center"/>
              <w:rPr>
                <w:rFonts w:hint="eastAsia" w:ascii="仿宋_GB2312" w:hAnsi="仿宋_GB2312" w:eastAsia="仿宋_GB2312" w:cs="仿宋_GB2312"/>
                <w:sz w:val="22"/>
              </w:rPr>
            </w:pPr>
            <w:r>
              <w:rPr>
                <w:rFonts w:hint="eastAsia" w:ascii="仿宋_GB2312" w:hAnsi="仿宋_GB2312" w:eastAsia="仿宋_GB2312" w:cs="仿宋_GB2312"/>
                <w:sz w:val="22"/>
              </w:rPr>
              <w:t>0-71周岁</w:t>
            </w:r>
          </w:p>
        </w:tc>
        <w:tc>
          <w:tcPr>
            <w:tcW w:w="2417" w:type="dxa"/>
            <w:vAlign w:val="center"/>
          </w:tcPr>
          <w:p>
            <w:pPr>
              <w:keepNext w:val="0"/>
              <w:keepLines w:val="0"/>
              <w:numPr>
                <w:ilvl w:val="255"/>
                <w:numId w:val="0"/>
              </w:numPr>
              <w:suppressLineNumbers w:val="0"/>
              <w:adjustRightInd w:val="0"/>
              <w:snapToGrid w:val="0"/>
              <w:spacing w:before="0" w:beforeAutospacing="0" w:after="0" w:afterAutospacing="0" w:line="540" w:lineRule="atLeast"/>
              <w:ind w:left="0" w:right="0"/>
              <w:jc w:val="center"/>
              <w:rPr>
                <w:rFonts w:hint="eastAsia" w:ascii="仿宋_GB2312" w:hAnsi="仿宋_GB2312" w:eastAsia="仿宋_GB2312" w:cs="仿宋_GB2312"/>
              </w:rPr>
            </w:pPr>
            <w:r>
              <w:rPr>
                <w:rFonts w:hint="eastAsia" w:ascii="仿宋_GB2312" w:hAnsi="仿宋_GB2312" w:eastAsia="仿宋_GB2312" w:cs="仿宋_GB2312"/>
                <w:sz w:val="22"/>
              </w:rPr>
              <w:t>0-75周岁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Ex>
        <w:trPr>
          <w:jc w:val="center"/>
        </w:trPr>
        <w:tc>
          <w:tcPr>
            <w:tcW w:w="2462" w:type="dxa"/>
            <w:vAlign w:val="center"/>
          </w:tcPr>
          <w:p>
            <w:pPr>
              <w:keepNext w:val="0"/>
              <w:keepLines w:val="0"/>
              <w:numPr>
                <w:ilvl w:val="255"/>
                <w:numId w:val="0"/>
              </w:numPr>
              <w:suppressLineNumbers w:val="0"/>
              <w:adjustRightInd w:val="0"/>
              <w:snapToGrid w:val="0"/>
              <w:spacing w:before="0" w:beforeAutospacing="0" w:after="0" w:afterAutospacing="0" w:line="540" w:lineRule="atLeast"/>
              <w:ind w:left="0" w:right="0"/>
              <w:jc w:val="center"/>
              <w:rPr>
                <w:rFonts w:hint="eastAsia" w:ascii="仿宋_GB2312" w:hAnsi="仿宋_GB2312" w:eastAsia="仿宋_GB2312" w:cs="仿宋_GB2312"/>
                <w:sz w:val="22"/>
              </w:rPr>
            </w:pPr>
            <w:r>
              <w:rPr>
                <w:rFonts w:hint="eastAsia" w:ascii="仿宋_GB2312" w:hAnsi="仿宋_GB2312" w:eastAsia="仿宋_GB2312" w:cs="仿宋_GB2312"/>
                <w:sz w:val="22"/>
              </w:rPr>
              <w:t>3年</w:t>
            </w:r>
          </w:p>
        </w:tc>
        <w:tc>
          <w:tcPr>
            <w:tcW w:w="2920" w:type="dxa"/>
            <w:vAlign w:val="center"/>
          </w:tcPr>
          <w:p>
            <w:pPr>
              <w:keepNext w:val="0"/>
              <w:keepLines w:val="0"/>
              <w:numPr>
                <w:ilvl w:val="255"/>
                <w:numId w:val="0"/>
              </w:numPr>
              <w:suppressLineNumbers w:val="0"/>
              <w:adjustRightInd w:val="0"/>
              <w:snapToGrid w:val="0"/>
              <w:spacing w:before="0" w:beforeAutospacing="0" w:after="0" w:afterAutospacing="0" w:line="540" w:lineRule="atLeast"/>
              <w:ind w:left="0" w:right="0"/>
              <w:jc w:val="center"/>
              <w:rPr>
                <w:rFonts w:hint="eastAsia" w:ascii="仿宋_GB2312" w:hAnsi="仿宋_GB2312" w:eastAsia="仿宋_GB2312" w:cs="仿宋_GB2312"/>
                <w:sz w:val="22"/>
              </w:rPr>
            </w:pPr>
            <w:r>
              <w:rPr>
                <w:rFonts w:hint="eastAsia" w:ascii="仿宋_GB2312" w:hAnsi="仿宋_GB2312" w:eastAsia="仿宋_GB2312" w:cs="仿宋_GB2312"/>
                <w:sz w:val="22"/>
              </w:rPr>
              <w:t>0-70周岁</w:t>
            </w:r>
          </w:p>
        </w:tc>
        <w:tc>
          <w:tcPr>
            <w:tcW w:w="2417" w:type="dxa"/>
            <w:vAlign w:val="center"/>
          </w:tcPr>
          <w:p>
            <w:pPr>
              <w:keepNext w:val="0"/>
              <w:keepLines w:val="0"/>
              <w:numPr>
                <w:ilvl w:val="255"/>
                <w:numId w:val="0"/>
              </w:numPr>
              <w:suppressLineNumbers w:val="0"/>
              <w:adjustRightInd w:val="0"/>
              <w:snapToGrid w:val="0"/>
              <w:spacing w:before="0" w:beforeAutospacing="0" w:after="0" w:afterAutospacing="0" w:line="540" w:lineRule="atLeast"/>
              <w:ind w:left="0" w:right="0"/>
              <w:jc w:val="center"/>
              <w:rPr>
                <w:rFonts w:hint="eastAsia" w:ascii="仿宋_GB2312" w:hAnsi="仿宋_GB2312" w:eastAsia="仿宋_GB2312" w:cs="仿宋_GB2312"/>
              </w:rPr>
            </w:pPr>
            <w:r>
              <w:rPr>
                <w:rFonts w:hint="eastAsia" w:ascii="仿宋_GB2312" w:hAnsi="仿宋_GB2312" w:eastAsia="仿宋_GB2312" w:cs="仿宋_GB2312"/>
                <w:sz w:val="22"/>
              </w:rPr>
              <w:t>0-72周岁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Ex>
        <w:trPr>
          <w:trHeight w:val="540" w:hRule="atLeast"/>
          <w:jc w:val="center"/>
        </w:trPr>
        <w:tc>
          <w:tcPr>
            <w:tcW w:w="2462" w:type="dxa"/>
            <w:vAlign w:val="center"/>
          </w:tcPr>
          <w:p>
            <w:pPr>
              <w:keepNext w:val="0"/>
              <w:keepLines w:val="0"/>
              <w:numPr>
                <w:ilvl w:val="255"/>
                <w:numId w:val="0"/>
              </w:numPr>
              <w:suppressLineNumbers w:val="0"/>
              <w:adjustRightInd w:val="0"/>
              <w:snapToGrid w:val="0"/>
              <w:spacing w:before="0" w:beforeAutospacing="0" w:after="0" w:afterAutospacing="0" w:line="540" w:lineRule="atLeast"/>
              <w:ind w:left="0" w:right="0"/>
              <w:jc w:val="center"/>
              <w:rPr>
                <w:rFonts w:hint="eastAsia" w:ascii="仿宋_GB2312" w:hAnsi="仿宋_GB2312" w:eastAsia="仿宋_GB2312" w:cs="仿宋_GB2312"/>
                <w:sz w:val="22"/>
              </w:rPr>
            </w:pPr>
            <w:r>
              <w:rPr>
                <w:rFonts w:hint="eastAsia" w:ascii="仿宋_GB2312" w:hAnsi="仿宋_GB2312" w:eastAsia="仿宋_GB2312" w:cs="仿宋_GB2312"/>
                <w:sz w:val="22"/>
              </w:rPr>
              <w:t>5年</w:t>
            </w:r>
          </w:p>
        </w:tc>
        <w:tc>
          <w:tcPr>
            <w:tcW w:w="2920" w:type="dxa"/>
            <w:vAlign w:val="center"/>
          </w:tcPr>
          <w:p>
            <w:pPr>
              <w:keepNext w:val="0"/>
              <w:keepLines w:val="0"/>
              <w:numPr>
                <w:ilvl w:val="255"/>
                <w:numId w:val="0"/>
              </w:numPr>
              <w:suppressLineNumbers w:val="0"/>
              <w:adjustRightInd w:val="0"/>
              <w:snapToGrid w:val="0"/>
              <w:spacing w:before="0" w:beforeAutospacing="0" w:after="0" w:afterAutospacing="0" w:line="540" w:lineRule="atLeast"/>
              <w:ind w:left="0" w:right="0"/>
              <w:jc w:val="center"/>
              <w:rPr>
                <w:rFonts w:hint="eastAsia" w:ascii="仿宋_GB2312" w:hAnsi="仿宋_GB2312" w:eastAsia="仿宋_GB2312" w:cs="仿宋_GB2312"/>
                <w:sz w:val="22"/>
              </w:rPr>
            </w:pPr>
            <w:r>
              <w:rPr>
                <w:rFonts w:hint="eastAsia" w:ascii="仿宋_GB2312" w:hAnsi="仿宋_GB2312" w:eastAsia="仿宋_GB2312" w:cs="仿宋_GB2312"/>
                <w:sz w:val="22"/>
              </w:rPr>
              <w:t>0-69周岁</w:t>
            </w:r>
          </w:p>
        </w:tc>
        <w:tc>
          <w:tcPr>
            <w:tcW w:w="2417" w:type="dxa"/>
            <w:vAlign w:val="center"/>
          </w:tcPr>
          <w:p>
            <w:pPr>
              <w:keepNext w:val="0"/>
              <w:keepLines w:val="0"/>
              <w:numPr>
                <w:ilvl w:val="255"/>
                <w:numId w:val="0"/>
              </w:numPr>
              <w:suppressLineNumbers w:val="0"/>
              <w:adjustRightInd w:val="0"/>
              <w:snapToGrid w:val="0"/>
              <w:spacing w:before="0" w:beforeAutospacing="0" w:after="0" w:afterAutospacing="0" w:line="540" w:lineRule="atLeast"/>
              <w:ind w:left="0" w:right="0"/>
              <w:jc w:val="center"/>
              <w:rPr>
                <w:rFonts w:hint="eastAsia" w:ascii="仿宋_GB2312" w:hAnsi="仿宋_GB2312" w:eastAsia="仿宋_GB2312" w:cs="仿宋_GB2312"/>
              </w:rPr>
            </w:pPr>
            <w:r>
              <w:rPr>
                <w:rFonts w:hint="eastAsia" w:ascii="仿宋_GB2312" w:hAnsi="仿宋_GB2312" w:eastAsia="仿宋_GB2312" w:cs="仿宋_GB2312"/>
                <w:sz w:val="22"/>
              </w:rPr>
              <w:t>0-70周岁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Ex>
        <w:trPr>
          <w:jc w:val="center"/>
        </w:trPr>
        <w:tc>
          <w:tcPr>
            <w:tcW w:w="2462" w:type="dxa"/>
            <w:vAlign w:val="center"/>
          </w:tcPr>
          <w:p>
            <w:pPr>
              <w:keepNext w:val="0"/>
              <w:keepLines w:val="0"/>
              <w:numPr>
                <w:ilvl w:val="255"/>
                <w:numId w:val="0"/>
              </w:numPr>
              <w:suppressLineNumbers w:val="0"/>
              <w:adjustRightInd w:val="0"/>
              <w:snapToGrid w:val="0"/>
              <w:spacing w:before="0" w:beforeAutospacing="0" w:after="0" w:afterAutospacing="0" w:line="540" w:lineRule="atLeast"/>
              <w:ind w:left="0" w:right="0"/>
              <w:jc w:val="center"/>
              <w:rPr>
                <w:rFonts w:hint="eastAsia" w:ascii="仿宋_GB2312" w:hAnsi="仿宋_GB2312" w:eastAsia="仿宋_GB2312" w:cs="仿宋_GB2312"/>
                <w:sz w:val="22"/>
              </w:rPr>
            </w:pPr>
            <w:r>
              <w:rPr>
                <w:rFonts w:hint="eastAsia" w:ascii="仿宋_GB2312" w:hAnsi="仿宋_GB2312" w:eastAsia="仿宋_GB2312" w:cs="仿宋_GB2312"/>
                <w:sz w:val="22"/>
              </w:rPr>
              <w:t>10年</w:t>
            </w:r>
          </w:p>
        </w:tc>
        <w:tc>
          <w:tcPr>
            <w:tcW w:w="2920" w:type="dxa"/>
            <w:vAlign w:val="center"/>
          </w:tcPr>
          <w:p>
            <w:pPr>
              <w:keepNext w:val="0"/>
              <w:keepLines w:val="0"/>
              <w:numPr>
                <w:ilvl w:val="255"/>
                <w:numId w:val="0"/>
              </w:numPr>
              <w:suppressLineNumbers w:val="0"/>
              <w:adjustRightInd w:val="0"/>
              <w:snapToGrid w:val="0"/>
              <w:spacing w:before="0" w:beforeAutospacing="0" w:after="0" w:afterAutospacing="0" w:line="540" w:lineRule="atLeast"/>
              <w:ind w:left="0" w:right="0"/>
              <w:jc w:val="center"/>
              <w:rPr>
                <w:rFonts w:hint="eastAsia" w:ascii="仿宋_GB2312" w:hAnsi="仿宋_GB2312" w:eastAsia="仿宋_GB2312" w:cs="仿宋_GB2312"/>
                <w:sz w:val="22"/>
              </w:rPr>
            </w:pPr>
            <w:r>
              <w:rPr>
                <w:rFonts w:hint="eastAsia" w:ascii="仿宋_GB2312" w:hAnsi="仿宋_GB2312" w:eastAsia="仿宋_GB2312" w:cs="仿宋_GB2312"/>
                <w:sz w:val="22"/>
              </w:rPr>
              <w:t>0-65周岁</w:t>
            </w:r>
          </w:p>
        </w:tc>
        <w:tc>
          <w:tcPr>
            <w:tcW w:w="2417" w:type="dxa"/>
            <w:vAlign w:val="center"/>
          </w:tcPr>
          <w:p>
            <w:pPr>
              <w:keepNext w:val="0"/>
              <w:keepLines w:val="0"/>
              <w:numPr>
                <w:ilvl w:val="255"/>
                <w:numId w:val="0"/>
              </w:numPr>
              <w:suppressLineNumbers w:val="0"/>
              <w:adjustRightInd w:val="0"/>
              <w:snapToGrid w:val="0"/>
              <w:spacing w:before="0" w:beforeAutospacing="0" w:after="0" w:afterAutospacing="0" w:line="540" w:lineRule="atLeast"/>
              <w:ind w:left="0" w:right="0"/>
              <w:jc w:val="center"/>
              <w:rPr>
                <w:rFonts w:hint="eastAsia" w:ascii="仿宋_GB2312" w:hAnsi="仿宋_GB2312" w:eastAsia="仿宋_GB2312" w:cs="仿宋_GB2312"/>
              </w:rPr>
            </w:pPr>
            <w:r>
              <w:rPr>
                <w:rFonts w:hint="eastAsia" w:ascii="仿宋_GB2312" w:hAnsi="仿宋_GB2312" w:eastAsia="仿宋_GB2312" w:cs="仿宋_GB2312"/>
                <w:sz w:val="22"/>
              </w:rPr>
              <w:t>0-65周岁</w:t>
            </w:r>
          </w:p>
        </w:tc>
      </w:tr>
    </w:tbl>
    <w:p>
      <w:pPr>
        <w:snapToGrid w:val="0"/>
        <w:spacing w:line="540" w:lineRule="atLeast"/>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4.基本保险金额：本险种基本保险金额根据年龄、性别、交费方式确定。</w:t>
      </w:r>
    </w:p>
    <w:p>
      <w:pPr>
        <w:snapToGrid w:val="0"/>
        <w:spacing w:line="540" w:lineRule="atLeast"/>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5.保险费：1000元/每份。</w:t>
      </w:r>
    </w:p>
    <w:p>
      <w:pPr>
        <w:widowControl/>
        <w:adjustRightInd w:val="0"/>
        <w:snapToGrid w:val="0"/>
        <w:spacing w:line="540" w:lineRule="atLeast"/>
        <w:ind w:firstLine="600" w:firstLineChars="200"/>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6.起保份数：</w:t>
      </w:r>
    </w:p>
    <w:p>
      <w:pPr>
        <w:widowControl/>
        <w:adjustRightInd w:val="0"/>
        <w:snapToGrid w:val="0"/>
        <w:spacing w:line="540" w:lineRule="atLeast"/>
        <w:ind w:firstLine="600" w:firstLineChars="200"/>
        <w:rPr>
          <w:rFonts w:hint="eastAsia" w:ascii="仿宋_GB2312" w:hAnsi="仿宋_GB2312" w:eastAsia="仿宋_GB2312" w:cs="仿宋_GB2312"/>
          <w:sz w:val="30"/>
          <w:szCs w:val="30"/>
          <w:highlight w:val="none"/>
        </w:rPr>
      </w:pPr>
      <w:r>
        <w:rPr>
          <w:rFonts w:hint="eastAsia" w:ascii="仿宋_GB2312" w:hAnsi="仿宋_GB2312" w:eastAsia="仿宋_GB2312" w:cs="仿宋_GB2312"/>
          <w:sz w:val="30"/>
          <w:szCs w:val="30"/>
          <w:highlight w:val="none"/>
        </w:rPr>
        <w:t>本险种起保份数，详见下表。</w:t>
      </w:r>
    </w:p>
    <w:tbl>
      <w:tblPr>
        <w:tblStyle w:val="4"/>
        <w:tblW w:w="782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2063"/>
        <w:gridCol w:w="1618"/>
        <w:gridCol w:w="41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Ex>
        <w:trPr>
          <w:trHeight w:val="90" w:hRule="atLeast"/>
          <w:jc w:val="center"/>
        </w:trPr>
        <w:tc>
          <w:tcPr>
            <w:tcW w:w="2063" w:type="dxa"/>
            <w:vAlign w:val="center"/>
          </w:tcPr>
          <w:p>
            <w:pPr>
              <w:keepNext w:val="0"/>
              <w:keepLines w:val="0"/>
              <w:widowControl/>
              <w:suppressLineNumbers w:val="0"/>
              <w:adjustRightInd w:val="0"/>
              <w:snapToGrid w:val="0"/>
              <w:spacing w:before="0" w:beforeAutospacing="0" w:after="0" w:afterAutospacing="0" w:line="540" w:lineRule="exact"/>
              <w:ind w:left="0" w:right="0"/>
              <w:jc w:val="center"/>
              <w:textAlignment w:val="baseline"/>
              <w:rPr>
                <w:rFonts w:hint="eastAsia" w:ascii="仿宋_GB2312" w:hAnsi="仿宋_GB2312" w:eastAsia="仿宋_GB2312" w:cs="仿宋_GB2312"/>
                <w:b/>
                <w:sz w:val="24"/>
                <w:highlight w:val="none"/>
              </w:rPr>
            </w:pPr>
            <w:r>
              <w:rPr>
                <w:rFonts w:hint="eastAsia" w:ascii="仿宋_GB2312" w:hAnsi="仿宋_GB2312" w:eastAsia="仿宋_GB2312" w:cs="仿宋_GB2312"/>
                <w:b/>
                <w:sz w:val="24"/>
                <w:highlight w:val="none"/>
              </w:rPr>
              <w:t>交费方式</w:t>
            </w:r>
          </w:p>
        </w:tc>
        <w:tc>
          <w:tcPr>
            <w:tcW w:w="1618" w:type="dxa"/>
            <w:vAlign w:val="center"/>
          </w:tcPr>
          <w:p>
            <w:pPr>
              <w:keepNext w:val="0"/>
              <w:keepLines w:val="0"/>
              <w:widowControl/>
              <w:suppressLineNumbers w:val="0"/>
              <w:adjustRightInd w:val="0"/>
              <w:snapToGrid w:val="0"/>
              <w:spacing w:before="0" w:beforeAutospacing="0" w:after="0" w:afterAutospacing="0" w:line="540" w:lineRule="exact"/>
              <w:ind w:left="0" w:right="0"/>
              <w:jc w:val="center"/>
              <w:textAlignment w:val="baseline"/>
              <w:rPr>
                <w:rFonts w:hint="eastAsia" w:ascii="仿宋_GB2312" w:hAnsi="仿宋_GB2312" w:eastAsia="仿宋_GB2312" w:cs="仿宋_GB2312"/>
                <w:b/>
                <w:sz w:val="24"/>
                <w:highlight w:val="none"/>
              </w:rPr>
            </w:pPr>
            <w:r>
              <w:rPr>
                <w:rFonts w:hint="eastAsia" w:ascii="仿宋_GB2312" w:hAnsi="仿宋_GB2312" w:eastAsia="仿宋_GB2312" w:cs="仿宋_GB2312"/>
                <w:b/>
                <w:sz w:val="24"/>
                <w:highlight w:val="none"/>
              </w:rPr>
              <w:t>起保份数</w:t>
            </w:r>
          </w:p>
        </w:tc>
        <w:tc>
          <w:tcPr>
            <w:tcW w:w="4139" w:type="dxa"/>
            <w:vAlign w:val="center"/>
          </w:tcPr>
          <w:p>
            <w:pPr>
              <w:keepNext w:val="0"/>
              <w:keepLines w:val="0"/>
              <w:widowControl/>
              <w:suppressLineNumbers w:val="0"/>
              <w:adjustRightInd w:val="0"/>
              <w:snapToGrid w:val="0"/>
              <w:spacing w:before="0" w:beforeAutospacing="0" w:after="0" w:afterAutospacing="0" w:line="540" w:lineRule="exact"/>
              <w:ind w:left="0" w:right="0"/>
              <w:jc w:val="center"/>
              <w:textAlignment w:val="baseline"/>
              <w:rPr>
                <w:rFonts w:hint="eastAsia" w:ascii="仿宋_GB2312" w:hAnsi="仿宋_GB2312" w:eastAsia="仿宋_GB2312" w:cs="仿宋_GB2312"/>
                <w:b/>
                <w:sz w:val="24"/>
                <w:highlight w:val="none"/>
              </w:rPr>
            </w:pPr>
            <w:r>
              <w:rPr>
                <w:rFonts w:hint="eastAsia" w:ascii="仿宋_GB2312" w:hAnsi="仿宋_GB2312" w:eastAsia="仿宋_GB2312" w:cs="仿宋_GB2312"/>
                <w:b/>
                <w:sz w:val="24"/>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Ex>
        <w:trPr>
          <w:trHeight w:val="90" w:hRule="atLeast"/>
          <w:jc w:val="center"/>
        </w:trPr>
        <w:tc>
          <w:tcPr>
            <w:tcW w:w="2063" w:type="dxa"/>
            <w:vAlign w:val="center"/>
          </w:tcPr>
          <w:p>
            <w:pPr>
              <w:keepNext w:val="0"/>
              <w:keepLines w:val="0"/>
              <w:widowControl/>
              <w:suppressLineNumbers w:val="0"/>
              <w:adjustRightInd w:val="0"/>
              <w:snapToGrid w:val="0"/>
              <w:spacing w:before="0" w:beforeAutospacing="0" w:after="0" w:afterAutospacing="0" w:line="540" w:lineRule="exact"/>
              <w:ind w:left="0" w:right="0"/>
              <w:jc w:val="center"/>
              <w:textAlignment w:val="baseline"/>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趸交</w:t>
            </w:r>
          </w:p>
        </w:tc>
        <w:tc>
          <w:tcPr>
            <w:tcW w:w="1618" w:type="dxa"/>
            <w:vAlign w:val="center"/>
          </w:tcPr>
          <w:p>
            <w:pPr>
              <w:keepNext w:val="0"/>
              <w:keepLines w:val="0"/>
              <w:widowControl/>
              <w:suppressLineNumbers w:val="0"/>
              <w:adjustRightInd w:val="0"/>
              <w:snapToGrid w:val="0"/>
              <w:spacing w:before="0" w:beforeAutospacing="0" w:after="0" w:afterAutospacing="0" w:line="540" w:lineRule="exact"/>
              <w:ind w:left="0" w:right="0"/>
              <w:jc w:val="center"/>
              <w:textAlignment w:val="baseline"/>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100份</w:t>
            </w:r>
          </w:p>
        </w:tc>
        <w:tc>
          <w:tcPr>
            <w:tcW w:w="4139" w:type="dxa"/>
            <w:vAlign w:val="center"/>
          </w:tcPr>
          <w:p>
            <w:pPr>
              <w:keepNext w:val="0"/>
              <w:keepLines w:val="0"/>
              <w:widowControl/>
              <w:suppressLineNumbers w:val="0"/>
              <w:adjustRightInd w:val="0"/>
              <w:snapToGrid w:val="0"/>
              <w:spacing w:before="0" w:beforeAutospacing="0" w:after="0" w:afterAutospacing="0" w:line="540" w:lineRule="exact"/>
              <w:ind w:left="0" w:right="0"/>
              <w:jc w:val="center"/>
              <w:textAlignment w:val="baseline"/>
              <w:rPr>
                <w:rFonts w:hint="eastAsia" w:ascii="仿宋_GB2312" w:hAnsi="仿宋_GB2312" w:eastAsia="仿宋_GB2312" w:cs="仿宋_GB2312"/>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Ex>
        <w:trPr>
          <w:trHeight w:val="90" w:hRule="atLeast"/>
          <w:jc w:val="center"/>
        </w:trPr>
        <w:tc>
          <w:tcPr>
            <w:tcW w:w="2063" w:type="dxa"/>
            <w:vAlign w:val="center"/>
          </w:tcPr>
          <w:p>
            <w:pPr>
              <w:keepNext w:val="0"/>
              <w:keepLines w:val="0"/>
              <w:widowControl/>
              <w:suppressLineNumbers w:val="0"/>
              <w:adjustRightInd w:val="0"/>
              <w:snapToGrid w:val="0"/>
              <w:spacing w:before="0" w:beforeAutospacing="0" w:after="0" w:afterAutospacing="0" w:line="540" w:lineRule="exact"/>
              <w:ind w:left="0" w:right="0"/>
              <w:jc w:val="center"/>
              <w:textAlignment w:val="baseline"/>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3年交</w:t>
            </w:r>
          </w:p>
        </w:tc>
        <w:tc>
          <w:tcPr>
            <w:tcW w:w="1618" w:type="dxa"/>
            <w:vAlign w:val="center"/>
          </w:tcPr>
          <w:p>
            <w:pPr>
              <w:keepNext w:val="0"/>
              <w:keepLines w:val="0"/>
              <w:widowControl/>
              <w:suppressLineNumbers w:val="0"/>
              <w:adjustRightInd w:val="0"/>
              <w:snapToGrid w:val="0"/>
              <w:spacing w:before="0" w:beforeAutospacing="0" w:after="0" w:afterAutospacing="0" w:line="540" w:lineRule="exact"/>
              <w:ind w:left="0" w:right="0"/>
              <w:jc w:val="center"/>
              <w:textAlignment w:val="baseline"/>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30份</w:t>
            </w:r>
          </w:p>
        </w:tc>
        <w:tc>
          <w:tcPr>
            <w:tcW w:w="4139" w:type="dxa"/>
            <w:vAlign w:val="top"/>
          </w:tcPr>
          <w:p>
            <w:pPr>
              <w:pStyle w:val="3"/>
              <w:keepNext w:val="0"/>
              <w:keepLines w:val="0"/>
              <w:widowControl/>
              <w:suppressLineNumbers w:val="0"/>
              <w:spacing w:before="0" w:beforeAutospacing="0" w:after="0" w:afterAutospacing="0" w:line="540" w:lineRule="atLeast"/>
              <w:ind w:left="0" w:leftChars="0" w:right="0" w:rightChars="0"/>
              <w:jc w:val="center"/>
              <w:textAlignment w:val="baseline"/>
              <w:rPr>
                <w:rFonts w:hint="eastAsia" w:ascii="仿宋_GB2312" w:hAnsi="仿宋_GB2312" w:eastAsia="仿宋_GB2312" w:cs="仿宋_GB2312"/>
                <w:sz w:val="24"/>
                <w:highlight w:val="none"/>
              </w:rPr>
            </w:pPr>
            <w:r>
              <w:rPr>
                <w:rFonts w:hint="eastAsia" w:ascii="仿宋_GB2312" w:hAnsi="仿宋_GB2312" w:eastAsia="仿宋_GB2312" w:cs="仿宋_GB2312"/>
                <w:i w:val="0"/>
                <w:caps w:val="0"/>
                <w:color w:val="000000"/>
                <w:spacing w:val="0"/>
                <w:kern w:val="0"/>
                <w:sz w:val="24"/>
                <w:szCs w:val="24"/>
                <w:highlight w:val="none"/>
                <w:vertAlign w:val="baseline"/>
                <w:lang w:val="en-US" w:eastAsia="zh-CN" w:bidi="ar"/>
                <w:woUserID w:val="1"/>
              </w:rPr>
              <w:t>邮储邮政银行、农信、农商行渠道最低投保份数为10份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Ex>
        <w:trPr>
          <w:trHeight w:val="90" w:hRule="atLeast"/>
          <w:jc w:val="center"/>
        </w:trPr>
        <w:tc>
          <w:tcPr>
            <w:tcW w:w="2063" w:type="dxa"/>
            <w:vAlign w:val="center"/>
          </w:tcPr>
          <w:p>
            <w:pPr>
              <w:keepNext w:val="0"/>
              <w:keepLines w:val="0"/>
              <w:widowControl/>
              <w:suppressLineNumbers w:val="0"/>
              <w:adjustRightInd w:val="0"/>
              <w:snapToGrid w:val="0"/>
              <w:spacing w:before="0" w:beforeAutospacing="0" w:after="0" w:afterAutospacing="0" w:line="540" w:lineRule="exact"/>
              <w:ind w:left="0" w:right="0"/>
              <w:jc w:val="center"/>
              <w:textAlignment w:val="baseline"/>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5年交</w:t>
            </w:r>
          </w:p>
        </w:tc>
        <w:tc>
          <w:tcPr>
            <w:tcW w:w="1618" w:type="dxa"/>
            <w:vAlign w:val="center"/>
          </w:tcPr>
          <w:p>
            <w:pPr>
              <w:keepNext w:val="0"/>
              <w:keepLines w:val="0"/>
              <w:widowControl/>
              <w:suppressLineNumbers w:val="0"/>
              <w:adjustRightInd w:val="0"/>
              <w:snapToGrid w:val="0"/>
              <w:spacing w:before="0" w:beforeAutospacing="0" w:after="0" w:afterAutospacing="0" w:line="540" w:lineRule="exact"/>
              <w:ind w:left="0" w:right="0"/>
              <w:jc w:val="center"/>
              <w:textAlignment w:val="baseline"/>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20份</w:t>
            </w:r>
          </w:p>
        </w:tc>
        <w:tc>
          <w:tcPr>
            <w:tcW w:w="4139" w:type="dxa"/>
            <w:vAlign w:val="top"/>
          </w:tcPr>
          <w:p>
            <w:pPr>
              <w:pStyle w:val="3"/>
              <w:keepNext w:val="0"/>
              <w:keepLines w:val="0"/>
              <w:widowControl/>
              <w:suppressLineNumbers w:val="0"/>
              <w:spacing w:before="0" w:beforeAutospacing="0" w:after="0" w:afterAutospacing="0" w:line="540" w:lineRule="atLeast"/>
              <w:ind w:left="0" w:leftChars="0" w:right="0" w:rightChars="0"/>
              <w:jc w:val="center"/>
              <w:textAlignment w:val="baseline"/>
              <w:rPr>
                <w:rFonts w:hint="eastAsia" w:ascii="仿宋_GB2312" w:hAnsi="仿宋_GB2312" w:eastAsia="仿宋_GB2312" w:cs="仿宋_GB2312"/>
                <w:sz w:val="24"/>
                <w:highlight w:val="none"/>
              </w:rPr>
            </w:pPr>
            <w:r>
              <w:rPr>
                <w:rFonts w:hint="eastAsia" w:ascii="仿宋_GB2312" w:hAnsi="仿宋_GB2312" w:eastAsia="仿宋_GB2312" w:cs="仿宋_GB2312"/>
                <w:i w:val="0"/>
                <w:caps w:val="0"/>
                <w:color w:val="000000"/>
                <w:spacing w:val="0"/>
                <w:kern w:val="0"/>
                <w:sz w:val="24"/>
                <w:szCs w:val="24"/>
                <w:highlight w:val="none"/>
                <w:vertAlign w:val="baseline"/>
                <w:lang w:val="en-US" w:eastAsia="zh-CN" w:bidi="ar"/>
              </w:rPr>
              <w:t>邮储邮政银行、农信、农商行渠道最低投保份数为10份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Ex>
        <w:trPr>
          <w:trHeight w:val="90" w:hRule="atLeast"/>
          <w:jc w:val="center"/>
        </w:trPr>
        <w:tc>
          <w:tcPr>
            <w:tcW w:w="2063" w:type="dxa"/>
            <w:vAlign w:val="center"/>
          </w:tcPr>
          <w:p>
            <w:pPr>
              <w:keepNext w:val="0"/>
              <w:keepLines w:val="0"/>
              <w:widowControl/>
              <w:suppressLineNumbers w:val="0"/>
              <w:adjustRightInd w:val="0"/>
              <w:snapToGrid w:val="0"/>
              <w:spacing w:before="0" w:beforeAutospacing="0" w:after="0" w:afterAutospacing="0" w:line="540" w:lineRule="exact"/>
              <w:ind w:left="0" w:right="0"/>
              <w:jc w:val="center"/>
              <w:textAlignment w:val="baseline"/>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10年交</w:t>
            </w:r>
          </w:p>
        </w:tc>
        <w:tc>
          <w:tcPr>
            <w:tcW w:w="1618" w:type="dxa"/>
            <w:vAlign w:val="center"/>
          </w:tcPr>
          <w:p>
            <w:pPr>
              <w:keepNext w:val="0"/>
              <w:keepLines w:val="0"/>
              <w:widowControl/>
              <w:suppressLineNumbers w:val="0"/>
              <w:adjustRightInd w:val="0"/>
              <w:snapToGrid w:val="0"/>
              <w:spacing w:before="0" w:beforeAutospacing="0" w:after="0" w:afterAutospacing="0" w:line="540" w:lineRule="exact"/>
              <w:ind w:left="0" w:right="0"/>
              <w:jc w:val="center"/>
              <w:textAlignment w:val="baseline"/>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rPr>
              <w:t>10份</w:t>
            </w:r>
          </w:p>
        </w:tc>
        <w:tc>
          <w:tcPr>
            <w:tcW w:w="4139" w:type="dxa"/>
            <w:vAlign w:val="center"/>
          </w:tcPr>
          <w:p>
            <w:pPr>
              <w:keepNext w:val="0"/>
              <w:keepLines w:val="0"/>
              <w:widowControl/>
              <w:suppressLineNumbers w:val="0"/>
              <w:adjustRightInd w:val="0"/>
              <w:snapToGrid w:val="0"/>
              <w:spacing w:before="0" w:beforeAutospacing="0" w:after="0" w:afterAutospacing="0" w:line="540" w:lineRule="exact"/>
              <w:ind w:left="0" w:right="0"/>
              <w:jc w:val="center"/>
              <w:textAlignment w:val="baseline"/>
              <w:rPr>
                <w:rFonts w:hint="eastAsia" w:ascii="仿宋_GB2312" w:hAnsi="仿宋_GB2312" w:eastAsia="仿宋_GB2312" w:cs="仿宋_GB2312"/>
                <w:sz w:val="24"/>
                <w:highlight w:val="none"/>
              </w:rPr>
            </w:pPr>
          </w:p>
        </w:tc>
      </w:tr>
    </w:tbl>
    <w:p>
      <w:pPr>
        <w:widowControl/>
        <w:adjustRightInd w:val="0"/>
        <w:snapToGrid w:val="0"/>
        <w:spacing w:line="540" w:lineRule="atLeast"/>
        <w:ind w:firstLine="600" w:firstLineChars="200"/>
        <w:rPr>
          <w:rFonts w:hint="eastAsia" w:ascii="仿宋_GB2312" w:hAnsi="仿宋_GB2312" w:eastAsia="仿宋_GB2312" w:cs="仿宋_GB2312"/>
          <w:sz w:val="30"/>
          <w:szCs w:val="30"/>
          <w:woUserID w:val="1"/>
        </w:rPr>
      </w:pPr>
      <w:r>
        <w:rPr>
          <w:rFonts w:hint="eastAsia" w:ascii="仿宋_GB2312" w:hAnsi="仿宋_GB2312" w:eastAsia="仿宋_GB2312" w:cs="仿宋_GB2312"/>
          <w:sz w:val="30"/>
          <w:szCs w:val="30"/>
          <w:woUserID w:val="1"/>
        </w:rPr>
        <w:t>最低承保份数以上可按1份为单位投保。</w:t>
      </w:r>
    </w:p>
    <w:p>
      <w:pPr>
        <w:widowControl/>
        <w:adjustRightInd w:val="0"/>
        <w:snapToGrid w:val="0"/>
        <w:spacing w:line="540" w:lineRule="atLeast"/>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woUserID w:val="1"/>
        </w:rPr>
        <w:t>注：农信、农商行渠道3年和5年交的最低起保份数依据总公司策略确定，目前涉及调整的渠道：上海农商行，其余默认3年交30份起售，5年交20份起售。</w:t>
      </w:r>
    </w:p>
    <w:p>
      <w:pPr>
        <w:adjustRightInd w:val="0"/>
        <w:snapToGrid w:val="0"/>
        <w:spacing w:line="540" w:lineRule="atLeast"/>
        <w:ind w:firstLine="601" w:firstLineChars="200"/>
        <w:rPr>
          <w:rFonts w:hint="eastAsia" w:ascii="仿宋_GB2312" w:hAnsi="仿宋_GB2312" w:eastAsia="仿宋_GB2312" w:cs="仿宋_GB2312"/>
          <w:b/>
          <w:sz w:val="30"/>
          <w:szCs w:val="30"/>
        </w:rPr>
      </w:pPr>
      <w:r>
        <w:rPr>
          <w:rFonts w:hint="eastAsia" w:ascii="仿宋_GB2312" w:hAnsi="仿宋_GB2312" w:eastAsia="仿宋_GB2312" w:cs="仿宋_GB2312"/>
          <w:b/>
          <w:sz w:val="30"/>
          <w:szCs w:val="30"/>
        </w:rPr>
        <w:t>三、核保规则</w:t>
      </w:r>
    </w:p>
    <w:p>
      <w:pPr>
        <w:widowControl/>
        <w:snapToGrid w:val="0"/>
        <w:spacing w:line="540" w:lineRule="atLeast"/>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1.保险金额：本险种累计寿险风险保额、意外身故风险保额及</w:t>
      </w:r>
      <w:r>
        <w:rPr>
          <w:rFonts w:hint="eastAsia" w:ascii="仿宋_GB2312" w:hAnsi="仿宋_GB2312" w:eastAsia="仿宋_GB2312" w:cs="仿宋_GB2312"/>
          <w:sz w:val="30"/>
          <w:szCs w:val="30"/>
          <w:lang w:bidi="ar"/>
        </w:rPr>
        <w:t>公共交通意外风险保额。公共交通意外风险保额为0.5</w:t>
      </w:r>
      <w:r>
        <w:rPr>
          <w:rFonts w:hint="eastAsia" w:ascii="仿宋_GB2312" w:hAnsi="仿宋_GB2312" w:eastAsia="仿宋_GB2312" w:cs="仿宋_GB2312"/>
          <w:sz w:val="30"/>
          <w:szCs w:val="30"/>
        </w:rPr>
        <w:t>倍的基本保额。</w:t>
      </w:r>
    </w:p>
    <w:p>
      <w:pPr>
        <w:widowControl/>
        <w:snapToGrid w:val="0"/>
        <w:spacing w:line="540" w:lineRule="atLeast"/>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寿险风险保额、意外身故风险保额按照如下规则计算：</w:t>
      </w:r>
    </w:p>
    <w:p>
      <w:pPr>
        <w:widowControl/>
        <w:snapToGrid w:val="0"/>
        <w:spacing w:line="540" w:lineRule="atLeast"/>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18—40周岁：年交保费的60%。</w:t>
      </w:r>
    </w:p>
    <w:p>
      <w:pPr>
        <w:widowControl/>
        <w:snapToGrid w:val="0"/>
        <w:spacing w:line="540" w:lineRule="atLeast"/>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41—60周岁：年交保费的40%。</w:t>
      </w:r>
    </w:p>
    <w:p>
      <w:pPr>
        <w:widowControl/>
        <w:snapToGrid w:val="0"/>
        <w:spacing w:line="540" w:lineRule="atLeast"/>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61周岁以上：年交保费的20%。</w:t>
      </w:r>
    </w:p>
    <w:p>
      <w:pPr>
        <w:widowControl/>
        <w:snapToGrid w:val="0"/>
        <w:spacing w:line="540" w:lineRule="atLeast"/>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本险种未成年人不计身故保额。</w:t>
      </w:r>
    </w:p>
    <w:p>
      <w:pPr>
        <w:widowControl/>
        <w:adjustRightInd w:val="0"/>
        <w:snapToGrid w:val="0"/>
        <w:spacing w:line="540" w:lineRule="atLeast"/>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2.特殊人群</w:t>
      </w:r>
    </w:p>
    <w:p>
      <w:pPr>
        <w:widowControl/>
        <w:adjustRightInd w:val="0"/>
        <w:snapToGrid w:val="0"/>
        <w:spacing w:line="540" w:lineRule="atLeast"/>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特殊人群本险种及鑫相伴与鑫福相伴系列产品累计首期保费超过下表限额的，需进行财务核保。</w:t>
      </w:r>
    </w:p>
    <w:tbl>
      <w:tblPr>
        <w:tblStyle w:val="4"/>
        <w:tblW w:w="87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2772"/>
        <w:gridCol w:w="1488"/>
        <w:gridCol w:w="1488"/>
        <w:gridCol w:w="1488"/>
        <w:gridCol w:w="14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Ex>
        <w:trPr>
          <w:trHeight w:val="290" w:hRule="atLeast"/>
        </w:trPr>
        <w:tc>
          <w:tcPr>
            <w:tcW w:w="8720" w:type="dxa"/>
            <w:gridSpan w:val="5"/>
            <w:shd w:val="clear" w:color="auto" w:fill="auto"/>
            <w:vAlign w:val="center"/>
          </w:tcPr>
          <w:p>
            <w:pPr>
              <w:keepNext w:val="0"/>
              <w:keepLines w:val="0"/>
              <w:widowControl/>
              <w:suppressLineNumbers w:val="0"/>
              <w:spacing w:before="0" w:beforeAutospacing="0" w:after="0" w:afterAutospacing="0"/>
              <w:ind w:left="0" w:right="0"/>
              <w:jc w:val="center"/>
              <w:rPr>
                <w:rFonts w:hint="eastAsia" w:ascii="仿宋_GB2312" w:hAnsi="仿宋_GB2312" w:eastAsia="仿宋_GB2312" w:cs="仿宋_GB2312"/>
                <w:b/>
                <w:bCs/>
                <w:sz w:val="22"/>
              </w:rPr>
            </w:pPr>
            <w:r>
              <w:rPr>
                <w:rFonts w:hint="eastAsia" w:ascii="仿宋_GB2312" w:hAnsi="仿宋_GB2312" w:eastAsia="仿宋_GB2312" w:cs="仿宋_GB2312"/>
                <w:b/>
                <w:bCs/>
                <w:sz w:val="22"/>
              </w:rPr>
              <w:t>首期保费（万元）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Ex>
        <w:trPr>
          <w:trHeight w:val="290" w:hRule="atLeast"/>
        </w:trPr>
        <w:tc>
          <w:tcPr>
            <w:tcW w:w="2772" w:type="dxa"/>
            <w:shd w:val="clear" w:color="auto" w:fill="auto"/>
            <w:vAlign w:val="center"/>
          </w:tcPr>
          <w:p>
            <w:pPr>
              <w:keepNext w:val="0"/>
              <w:keepLines w:val="0"/>
              <w:widowControl/>
              <w:suppressLineNumbers w:val="0"/>
              <w:spacing w:before="0" w:beforeAutospacing="0" w:after="0" w:afterAutospacing="0"/>
              <w:ind w:left="0" w:right="0"/>
              <w:jc w:val="center"/>
              <w:rPr>
                <w:rFonts w:hint="eastAsia" w:ascii="仿宋_GB2312" w:hAnsi="仿宋_GB2312" w:eastAsia="仿宋_GB2312" w:cs="仿宋_GB2312"/>
                <w:b/>
                <w:bCs/>
                <w:color w:val="000000"/>
                <w:sz w:val="22"/>
              </w:rPr>
            </w:pPr>
            <w:r>
              <w:rPr>
                <w:rFonts w:hint="eastAsia" w:ascii="仿宋_GB2312" w:hAnsi="仿宋_GB2312" w:eastAsia="仿宋_GB2312" w:cs="仿宋_GB2312"/>
                <w:b/>
                <w:bCs/>
                <w:color w:val="000000"/>
                <w:sz w:val="22"/>
              </w:rPr>
              <w:t>特殊人群</w:t>
            </w:r>
          </w:p>
        </w:tc>
        <w:tc>
          <w:tcPr>
            <w:tcW w:w="1488" w:type="dxa"/>
            <w:shd w:val="clear" w:color="auto" w:fill="auto"/>
            <w:vAlign w:val="center"/>
          </w:tcPr>
          <w:p>
            <w:pPr>
              <w:keepNext w:val="0"/>
              <w:keepLines w:val="0"/>
              <w:widowControl/>
              <w:suppressLineNumbers w:val="0"/>
              <w:spacing w:before="0" w:beforeAutospacing="0" w:after="0" w:afterAutospacing="0"/>
              <w:ind w:left="0" w:right="0"/>
              <w:jc w:val="center"/>
              <w:rPr>
                <w:rFonts w:hint="eastAsia" w:ascii="仿宋_GB2312" w:hAnsi="仿宋_GB2312" w:eastAsia="仿宋_GB2312" w:cs="仿宋_GB2312"/>
                <w:b/>
                <w:bCs/>
                <w:sz w:val="22"/>
              </w:rPr>
            </w:pPr>
            <w:r>
              <w:rPr>
                <w:rFonts w:hint="eastAsia" w:ascii="仿宋_GB2312" w:hAnsi="仿宋_GB2312" w:eastAsia="仿宋_GB2312" w:cs="仿宋_GB2312"/>
                <w:b/>
                <w:bCs/>
                <w:sz w:val="22"/>
              </w:rPr>
              <w:t>趸交</w:t>
            </w:r>
          </w:p>
        </w:tc>
        <w:tc>
          <w:tcPr>
            <w:tcW w:w="1488" w:type="dxa"/>
            <w:shd w:val="clear" w:color="auto" w:fill="auto"/>
            <w:noWrap/>
            <w:vAlign w:val="center"/>
          </w:tcPr>
          <w:p>
            <w:pPr>
              <w:keepNext w:val="0"/>
              <w:keepLines w:val="0"/>
              <w:widowControl/>
              <w:suppressLineNumbers w:val="0"/>
              <w:spacing w:before="0" w:beforeAutospacing="0" w:after="0" w:afterAutospacing="0"/>
              <w:ind w:left="0" w:right="0"/>
              <w:jc w:val="center"/>
              <w:rPr>
                <w:rFonts w:hint="eastAsia" w:ascii="仿宋_GB2312" w:hAnsi="仿宋_GB2312" w:eastAsia="仿宋_GB2312" w:cs="仿宋_GB2312"/>
                <w:b/>
                <w:bCs/>
                <w:sz w:val="22"/>
              </w:rPr>
            </w:pPr>
            <w:r>
              <w:rPr>
                <w:rFonts w:hint="eastAsia" w:ascii="仿宋_GB2312" w:hAnsi="仿宋_GB2312" w:eastAsia="仿宋_GB2312" w:cs="仿宋_GB2312"/>
                <w:b/>
                <w:bCs/>
                <w:sz w:val="22"/>
              </w:rPr>
              <w:t>3年交</w:t>
            </w:r>
          </w:p>
        </w:tc>
        <w:tc>
          <w:tcPr>
            <w:tcW w:w="1488" w:type="dxa"/>
            <w:shd w:val="clear" w:color="auto" w:fill="auto"/>
            <w:noWrap/>
            <w:vAlign w:val="center"/>
          </w:tcPr>
          <w:p>
            <w:pPr>
              <w:keepNext w:val="0"/>
              <w:keepLines w:val="0"/>
              <w:widowControl/>
              <w:suppressLineNumbers w:val="0"/>
              <w:spacing w:before="0" w:beforeAutospacing="0" w:after="0" w:afterAutospacing="0"/>
              <w:ind w:left="0" w:right="0"/>
              <w:jc w:val="center"/>
              <w:rPr>
                <w:rFonts w:hint="eastAsia" w:ascii="仿宋_GB2312" w:hAnsi="仿宋_GB2312" w:eastAsia="仿宋_GB2312" w:cs="仿宋_GB2312"/>
                <w:b/>
                <w:bCs/>
                <w:sz w:val="22"/>
              </w:rPr>
            </w:pPr>
            <w:r>
              <w:rPr>
                <w:rFonts w:hint="eastAsia" w:ascii="仿宋_GB2312" w:hAnsi="仿宋_GB2312" w:eastAsia="仿宋_GB2312" w:cs="仿宋_GB2312"/>
                <w:b/>
                <w:bCs/>
                <w:sz w:val="22"/>
              </w:rPr>
              <w:t>5年交</w:t>
            </w:r>
          </w:p>
        </w:tc>
        <w:tc>
          <w:tcPr>
            <w:tcW w:w="1484" w:type="dxa"/>
            <w:shd w:val="clear" w:color="auto" w:fill="auto"/>
            <w:vAlign w:val="center"/>
          </w:tcPr>
          <w:p>
            <w:pPr>
              <w:keepNext w:val="0"/>
              <w:keepLines w:val="0"/>
              <w:widowControl/>
              <w:suppressLineNumbers w:val="0"/>
              <w:spacing w:before="0" w:beforeAutospacing="0" w:after="0" w:afterAutospacing="0"/>
              <w:ind w:left="0" w:right="0"/>
              <w:jc w:val="center"/>
              <w:rPr>
                <w:rFonts w:hint="eastAsia" w:ascii="仿宋_GB2312" w:hAnsi="仿宋_GB2312" w:eastAsia="仿宋_GB2312" w:cs="仿宋_GB2312"/>
                <w:b/>
                <w:bCs/>
                <w:sz w:val="22"/>
              </w:rPr>
            </w:pPr>
            <w:r>
              <w:rPr>
                <w:rFonts w:hint="eastAsia" w:ascii="仿宋_GB2312" w:hAnsi="仿宋_GB2312" w:eastAsia="仿宋_GB2312" w:cs="仿宋_GB2312"/>
                <w:b/>
                <w:bCs/>
                <w:sz w:val="22"/>
              </w:rPr>
              <w:t>10年交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Ex>
        <w:trPr>
          <w:trHeight w:val="290" w:hRule="atLeast"/>
        </w:trPr>
        <w:tc>
          <w:tcPr>
            <w:tcW w:w="2772" w:type="dxa"/>
            <w:shd w:val="clear" w:color="auto" w:fill="auto"/>
            <w:vAlign w:val="center"/>
          </w:tcPr>
          <w:p>
            <w:pPr>
              <w:keepNext w:val="0"/>
              <w:keepLines w:val="0"/>
              <w:widowControl/>
              <w:suppressLineNumbers w:val="0"/>
              <w:spacing w:before="0" w:beforeAutospacing="0" w:after="0" w:afterAutospacing="0"/>
              <w:ind w:left="0" w:right="0"/>
              <w:jc w:val="center"/>
              <w:rPr>
                <w:rFonts w:hint="eastAsia" w:ascii="仿宋_GB2312" w:hAnsi="仿宋_GB2312" w:eastAsia="仿宋_GB2312" w:cs="仿宋_GB2312"/>
                <w:color w:val="000000"/>
                <w:sz w:val="22"/>
              </w:rPr>
            </w:pPr>
            <w:r>
              <w:rPr>
                <w:rFonts w:hint="eastAsia" w:ascii="仿宋_GB2312" w:hAnsi="仿宋_GB2312" w:eastAsia="仿宋_GB2312" w:cs="仿宋_GB2312"/>
                <w:color w:val="000000"/>
                <w:sz w:val="22"/>
              </w:rPr>
              <w:t>未成年人0-17岁</w:t>
            </w:r>
          </w:p>
        </w:tc>
        <w:tc>
          <w:tcPr>
            <w:tcW w:w="1488" w:type="dxa"/>
            <w:shd w:val="clear" w:color="auto" w:fill="auto"/>
            <w:vAlign w:val="bottom"/>
          </w:tcPr>
          <w:p>
            <w:pPr>
              <w:keepNext w:val="0"/>
              <w:keepLines w:val="0"/>
              <w:widowControl/>
              <w:suppressLineNumbers w:val="0"/>
              <w:spacing w:before="0" w:beforeAutospacing="0" w:after="0" w:afterAutospacing="0"/>
              <w:ind w:left="0" w:right="0"/>
              <w:jc w:val="center"/>
              <w:rPr>
                <w:rFonts w:hint="eastAsia" w:ascii="仿宋_GB2312" w:hAnsi="仿宋_GB2312" w:eastAsia="仿宋_GB2312" w:cs="仿宋_GB2312"/>
                <w:color w:val="000000"/>
                <w:sz w:val="22"/>
              </w:rPr>
            </w:pPr>
            <w:r>
              <w:rPr>
                <w:rFonts w:hint="eastAsia" w:ascii="仿宋_GB2312" w:hAnsi="仿宋_GB2312" w:eastAsia="仿宋_GB2312" w:cs="仿宋_GB2312"/>
                <w:color w:val="000000"/>
                <w:sz w:val="22"/>
              </w:rPr>
              <w:t>1000</w:t>
            </w:r>
          </w:p>
        </w:tc>
        <w:tc>
          <w:tcPr>
            <w:tcW w:w="1488" w:type="dxa"/>
            <w:shd w:val="clear" w:color="auto" w:fill="auto"/>
            <w:vAlign w:val="bottom"/>
          </w:tcPr>
          <w:p>
            <w:pPr>
              <w:keepNext w:val="0"/>
              <w:keepLines w:val="0"/>
              <w:widowControl/>
              <w:suppressLineNumbers w:val="0"/>
              <w:spacing w:before="0" w:beforeAutospacing="0" w:after="0" w:afterAutospacing="0"/>
              <w:ind w:left="0" w:right="0"/>
              <w:jc w:val="center"/>
              <w:rPr>
                <w:rFonts w:hint="eastAsia" w:ascii="仿宋_GB2312" w:hAnsi="仿宋_GB2312" w:eastAsia="仿宋_GB2312" w:cs="仿宋_GB2312"/>
                <w:color w:val="000000"/>
                <w:sz w:val="22"/>
              </w:rPr>
            </w:pPr>
            <w:r>
              <w:rPr>
                <w:rFonts w:hint="eastAsia" w:ascii="仿宋_GB2312" w:hAnsi="仿宋_GB2312" w:eastAsia="仿宋_GB2312" w:cs="仿宋_GB2312"/>
                <w:color w:val="000000"/>
                <w:sz w:val="22"/>
              </w:rPr>
              <w:t>1000</w:t>
            </w:r>
          </w:p>
        </w:tc>
        <w:tc>
          <w:tcPr>
            <w:tcW w:w="1488" w:type="dxa"/>
            <w:shd w:val="clear" w:color="auto" w:fill="auto"/>
            <w:vAlign w:val="bottom"/>
          </w:tcPr>
          <w:p>
            <w:pPr>
              <w:keepNext w:val="0"/>
              <w:keepLines w:val="0"/>
              <w:widowControl/>
              <w:suppressLineNumbers w:val="0"/>
              <w:spacing w:before="0" w:beforeAutospacing="0" w:after="0" w:afterAutospacing="0"/>
              <w:ind w:left="0" w:right="0"/>
              <w:jc w:val="center"/>
              <w:rPr>
                <w:rFonts w:hint="eastAsia" w:ascii="仿宋_GB2312" w:hAnsi="仿宋_GB2312" w:eastAsia="仿宋_GB2312" w:cs="仿宋_GB2312"/>
                <w:color w:val="000000"/>
                <w:sz w:val="22"/>
              </w:rPr>
            </w:pPr>
            <w:r>
              <w:rPr>
                <w:rFonts w:hint="eastAsia" w:ascii="仿宋_GB2312" w:hAnsi="仿宋_GB2312" w:eastAsia="仿宋_GB2312" w:cs="仿宋_GB2312"/>
                <w:color w:val="000000"/>
                <w:sz w:val="22"/>
              </w:rPr>
              <w:t>1000</w:t>
            </w:r>
          </w:p>
        </w:tc>
        <w:tc>
          <w:tcPr>
            <w:tcW w:w="1484" w:type="dxa"/>
            <w:shd w:val="clear" w:color="auto" w:fill="auto"/>
            <w:vAlign w:val="bottom"/>
          </w:tcPr>
          <w:p>
            <w:pPr>
              <w:keepNext w:val="0"/>
              <w:keepLines w:val="0"/>
              <w:widowControl/>
              <w:suppressLineNumbers w:val="0"/>
              <w:spacing w:before="0" w:beforeAutospacing="0" w:after="0" w:afterAutospacing="0"/>
              <w:ind w:left="0" w:right="0"/>
              <w:jc w:val="center"/>
              <w:rPr>
                <w:rFonts w:hint="eastAsia" w:ascii="仿宋_GB2312" w:hAnsi="仿宋_GB2312" w:eastAsia="仿宋_GB2312" w:cs="仿宋_GB2312"/>
                <w:color w:val="000000"/>
                <w:sz w:val="22"/>
              </w:rPr>
            </w:pPr>
            <w:r>
              <w:rPr>
                <w:rFonts w:hint="eastAsia" w:ascii="仿宋_GB2312" w:hAnsi="仿宋_GB2312" w:eastAsia="仿宋_GB2312" w:cs="仿宋_GB2312"/>
                <w:color w:val="000000"/>
                <w:sz w:val="22"/>
              </w:rPr>
              <w:t>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Ex>
        <w:trPr>
          <w:trHeight w:val="290" w:hRule="atLeast"/>
        </w:trPr>
        <w:tc>
          <w:tcPr>
            <w:tcW w:w="2772" w:type="dxa"/>
            <w:shd w:val="clear" w:color="auto" w:fill="auto"/>
            <w:vAlign w:val="center"/>
          </w:tcPr>
          <w:p>
            <w:pPr>
              <w:keepNext w:val="0"/>
              <w:keepLines w:val="0"/>
              <w:widowControl/>
              <w:suppressLineNumbers w:val="0"/>
              <w:spacing w:before="0" w:beforeAutospacing="0" w:after="0" w:afterAutospacing="0"/>
              <w:ind w:left="0" w:right="0"/>
              <w:jc w:val="center"/>
              <w:rPr>
                <w:rFonts w:hint="eastAsia" w:ascii="仿宋_GB2312" w:hAnsi="仿宋_GB2312" w:eastAsia="仿宋_GB2312" w:cs="仿宋_GB2312"/>
                <w:color w:val="000000"/>
                <w:sz w:val="22"/>
              </w:rPr>
            </w:pPr>
            <w:r>
              <w:rPr>
                <w:rFonts w:hint="eastAsia" w:ascii="仿宋_GB2312" w:hAnsi="仿宋_GB2312" w:eastAsia="仿宋_GB2312" w:cs="仿宋_GB2312"/>
                <w:color w:val="000000"/>
                <w:sz w:val="22"/>
              </w:rPr>
              <w:t>家庭主妇（夫）</w:t>
            </w:r>
          </w:p>
        </w:tc>
        <w:tc>
          <w:tcPr>
            <w:tcW w:w="1488" w:type="dxa"/>
            <w:shd w:val="clear" w:color="auto" w:fill="auto"/>
            <w:vAlign w:val="bottom"/>
          </w:tcPr>
          <w:p>
            <w:pPr>
              <w:keepNext w:val="0"/>
              <w:keepLines w:val="0"/>
              <w:widowControl/>
              <w:suppressLineNumbers w:val="0"/>
              <w:spacing w:before="0" w:beforeAutospacing="0" w:after="0" w:afterAutospacing="0"/>
              <w:ind w:left="0" w:right="0"/>
              <w:jc w:val="center"/>
              <w:rPr>
                <w:rFonts w:hint="eastAsia" w:ascii="仿宋_GB2312" w:hAnsi="仿宋_GB2312" w:eastAsia="仿宋_GB2312" w:cs="仿宋_GB2312"/>
                <w:color w:val="000000"/>
                <w:sz w:val="22"/>
              </w:rPr>
            </w:pPr>
            <w:r>
              <w:rPr>
                <w:rFonts w:hint="eastAsia" w:ascii="仿宋_GB2312" w:hAnsi="仿宋_GB2312" w:eastAsia="仿宋_GB2312" w:cs="仿宋_GB2312"/>
                <w:color w:val="000000"/>
                <w:sz w:val="22"/>
              </w:rPr>
              <w:t>500</w:t>
            </w:r>
          </w:p>
        </w:tc>
        <w:tc>
          <w:tcPr>
            <w:tcW w:w="1488" w:type="dxa"/>
            <w:shd w:val="clear" w:color="auto" w:fill="auto"/>
            <w:vAlign w:val="bottom"/>
          </w:tcPr>
          <w:p>
            <w:pPr>
              <w:keepNext w:val="0"/>
              <w:keepLines w:val="0"/>
              <w:widowControl/>
              <w:suppressLineNumbers w:val="0"/>
              <w:spacing w:before="0" w:beforeAutospacing="0" w:after="0" w:afterAutospacing="0"/>
              <w:ind w:left="0" w:right="0"/>
              <w:jc w:val="center"/>
              <w:rPr>
                <w:rFonts w:hint="eastAsia" w:ascii="仿宋_GB2312" w:hAnsi="仿宋_GB2312" w:eastAsia="仿宋_GB2312" w:cs="仿宋_GB2312"/>
                <w:color w:val="000000"/>
                <w:sz w:val="22"/>
              </w:rPr>
            </w:pPr>
            <w:r>
              <w:rPr>
                <w:rFonts w:hint="eastAsia" w:ascii="仿宋_GB2312" w:hAnsi="仿宋_GB2312" w:eastAsia="仿宋_GB2312" w:cs="仿宋_GB2312"/>
                <w:color w:val="000000"/>
                <w:sz w:val="22"/>
              </w:rPr>
              <w:t>500</w:t>
            </w:r>
          </w:p>
        </w:tc>
        <w:tc>
          <w:tcPr>
            <w:tcW w:w="1488" w:type="dxa"/>
            <w:shd w:val="clear" w:color="auto" w:fill="auto"/>
            <w:vAlign w:val="bottom"/>
          </w:tcPr>
          <w:p>
            <w:pPr>
              <w:keepNext w:val="0"/>
              <w:keepLines w:val="0"/>
              <w:widowControl/>
              <w:suppressLineNumbers w:val="0"/>
              <w:spacing w:before="0" w:beforeAutospacing="0" w:after="0" w:afterAutospacing="0"/>
              <w:ind w:left="0" w:right="0"/>
              <w:jc w:val="center"/>
              <w:rPr>
                <w:rFonts w:hint="eastAsia" w:ascii="仿宋_GB2312" w:hAnsi="仿宋_GB2312" w:eastAsia="仿宋_GB2312" w:cs="仿宋_GB2312"/>
                <w:color w:val="000000"/>
                <w:sz w:val="22"/>
              </w:rPr>
            </w:pPr>
            <w:r>
              <w:rPr>
                <w:rFonts w:hint="eastAsia" w:ascii="仿宋_GB2312" w:hAnsi="仿宋_GB2312" w:eastAsia="仿宋_GB2312" w:cs="仿宋_GB2312"/>
                <w:color w:val="000000"/>
                <w:sz w:val="22"/>
              </w:rPr>
              <w:t>500</w:t>
            </w:r>
          </w:p>
        </w:tc>
        <w:tc>
          <w:tcPr>
            <w:tcW w:w="1484" w:type="dxa"/>
            <w:shd w:val="clear" w:color="auto" w:fill="auto"/>
            <w:vAlign w:val="bottom"/>
          </w:tcPr>
          <w:p>
            <w:pPr>
              <w:keepNext w:val="0"/>
              <w:keepLines w:val="0"/>
              <w:widowControl/>
              <w:suppressLineNumbers w:val="0"/>
              <w:spacing w:before="0" w:beforeAutospacing="0" w:after="0" w:afterAutospacing="0"/>
              <w:ind w:left="0" w:right="0"/>
              <w:jc w:val="center"/>
              <w:rPr>
                <w:rFonts w:hint="eastAsia" w:ascii="仿宋_GB2312" w:hAnsi="仿宋_GB2312" w:eastAsia="仿宋_GB2312" w:cs="仿宋_GB2312"/>
                <w:color w:val="000000"/>
                <w:sz w:val="22"/>
              </w:rPr>
            </w:pPr>
            <w:r>
              <w:rPr>
                <w:rFonts w:hint="eastAsia" w:ascii="仿宋_GB2312" w:hAnsi="仿宋_GB2312" w:eastAsia="仿宋_GB2312" w:cs="仿宋_GB2312"/>
                <w:color w:val="000000"/>
                <w:sz w:val="22"/>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Ex>
        <w:trPr>
          <w:trHeight w:val="290" w:hRule="atLeast"/>
        </w:trPr>
        <w:tc>
          <w:tcPr>
            <w:tcW w:w="2772" w:type="dxa"/>
            <w:shd w:val="clear" w:color="auto" w:fill="auto"/>
            <w:vAlign w:val="center"/>
          </w:tcPr>
          <w:p>
            <w:pPr>
              <w:keepNext w:val="0"/>
              <w:keepLines w:val="0"/>
              <w:widowControl/>
              <w:suppressLineNumbers w:val="0"/>
              <w:spacing w:before="0" w:beforeAutospacing="0" w:after="0" w:afterAutospacing="0"/>
              <w:ind w:left="0" w:right="0"/>
              <w:jc w:val="center"/>
              <w:rPr>
                <w:rFonts w:hint="eastAsia" w:ascii="仿宋_GB2312" w:hAnsi="仿宋_GB2312" w:eastAsia="仿宋_GB2312" w:cs="仿宋_GB2312"/>
                <w:color w:val="000000"/>
                <w:sz w:val="22"/>
              </w:rPr>
            </w:pPr>
            <w:r>
              <w:rPr>
                <w:rFonts w:hint="eastAsia" w:ascii="仿宋_GB2312" w:hAnsi="仿宋_GB2312" w:eastAsia="仿宋_GB2312" w:cs="仿宋_GB2312"/>
                <w:color w:val="000000"/>
                <w:sz w:val="22"/>
              </w:rPr>
              <w:t>离退休人员</w:t>
            </w:r>
          </w:p>
        </w:tc>
        <w:tc>
          <w:tcPr>
            <w:tcW w:w="1488" w:type="dxa"/>
            <w:shd w:val="clear" w:color="auto" w:fill="auto"/>
            <w:vAlign w:val="bottom"/>
          </w:tcPr>
          <w:p>
            <w:pPr>
              <w:keepNext w:val="0"/>
              <w:keepLines w:val="0"/>
              <w:widowControl/>
              <w:suppressLineNumbers w:val="0"/>
              <w:spacing w:before="0" w:beforeAutospacing="0" w:after="0" w:afterAutospacing="0"/>
              <w:ind w:left="0" w:right="0"/>
              <w:jc w:val="center"/>
              <w:rPr>
                <w:rFonts w:hint="eastAsia" w:ascii="仿宋_GB2312" w:hAnsi="仿宋_GB2312" w:eastAsia="仿宋_GB2312" w:cs="仿宋_GB2312"/>
                <w:color w:val="000000"/>
                <w:sz w:val="22"/>
              </w:rPr>
            </w:pPr>
            <w:r>
              <w:rPr>
                <w:rFonts w:hint="eastAsia" w:ascii="仿宋_GB2312" w:hAnsi="仿宋_GB2312" w:eastAsia="仿宋_GB2312" w:cs="仿宋_GB2312"/>
                <w:color w:val="000000"/>
                <w:sz w:val="22"/>
              </w:rPr>
              <w:t>500</w:t>
            </w:r>
          </w:p>
        </w:tc>
        <w:tc>
          <w:tcPr>
            <w:tcW w:w="1488" w:type="dxa"/>
            <w:shd w:val="clear" w:color="auto" w:fill="auto"/>
            <w:vAlign w:val="bottom"/>
          </w:tcPr>
          <w:p>
            <w:pPr>
              <w:keepNext w:val="0"/>
              <w:keepLines w:val="0"/>
              <w:widowControl/>
              <w:suppressLineNumbers w:val="0"/>
              <w:spacing w:before="0" w:beforeAutospacing="0" w:after="0" w:afterAutospacing="0"/>
              <w:ind w:left="0" w:right="0"/>
              <w:jc w:val="center"/>
              <w:rPr>
                <w:rFonts w:hint="eastAsia" w:ascii="仿宋_GB2312" w:hAnsi="仿宋_GB2312" w:eastAsia="仿宋_GB2312" w:cs="仿宋_GB2312"/>
                <w:color w:val="000000"/>
                <w:sz w:val="22"/>
              </w:rPr>
            </w:pPr>
            <w:r>
              <w:rPr>
                <w:rFonts w:hint="eastAsia" w:ascii="仿宋_GB2312" w:hAnsi="仿宋_GB2312" w:eastAsia="仿宋_GB2312" w:cs="仿宋_GB2312"/>
                <w:color w:val="000000"/>
                <w:sz w:val="22"/>
              </w:rPr>
              <w:t>500</w:t>
            </w:r>
          </w:p>
        </w:tc>
        <w:tc>
          <w:tcPr>
            <w:tcW w:w="1488" w:type="dxa"/>
            <w:shd w:val="clear" w:color="auto" w:fill="auto"/>
            <w:vAlign w:val="bottom"/>
          </w:tcPr>
          <w:p>
            <w:pPr>
              <w:keepNext w:val="0"/>
              <w:keepLines w:val="0"/>
              <w:widowControl/>
              <w:suppressLineNumbers w:val="0"/>
              <w:spacing w:before="0" w:beforeAutospacing="0" w:after="0" w:afterAutospacing="0"/>
              <w:ind w:left="0" w:right="0"/>
              <w:jc w:val="center"/>
              <w:rPr>
                <w:rFonts w:hint="eastAsia" w:ascii="仿宋_GB2312" w:hAnsi="仿宋_GB2312" w:eastAsia="仿宋_GB2312" w:cs="仿宋_GB2312"/>
                <w:color w:val="000000"/>
                <w:sz w:val="22"/>
              </w:rPr>
            </w:pPr>
            <w:r>
              <w:rPr>
                <w:rFonts w:hint="eastAsia" w:ascii="仿宋_GB2312" w:hAnsi="仿宋_GB2312" w:eastAsia="仿宋_GB2312" w:cs="仿宋_GB2312"/>
                <w:color w:val="000000"/>
                <w:sz w:val="22"/>
              </w:rPr>
              <w:t>500</w:t>
            </w:r>
          </w:p>
        </w:tc>
        <w:tc>
          <w:tcPr>
            <w:tcW w:w="1484" w:type="dxa"/>
            <w:shd w:val="clear" w:color="auto" w:fill="auto"/>
            <w:vAlign w:val="bottom"/>
          </w:tcPr>
          <w:p>
            <w:pPr>
              <w:keepNext w:val="0"/>
              <w:keepLines w:val="0"/>
              <w:widowControl/>
              <w:suppressLineNumbers w:val="0"/>
              <w:spacing w:before="0" w:beforeAutospacing="0" w:after="0" w:afterAutospacing="0"/>
              <w:ind w:left="0" w:right="0"/>
              <w:jc w:val="center"/>
              <w:rPr>
                <w:rFonts w:hint="eastAsia" w:ascii="仿宋_GB2312" w:hAnsi="仿宋_GB2312" w:eastAsia="仿宋_GB2312" w:cs="仿宋_GB2312"/>
                <w:color w:val="000000"/>
                <w:sz w:val="22"/>
              </w:rPr>
            </w:pPr>
            <w:r>
              <w:rPr>
                <w:rFonts w:hint="eastAsia" w:ascii="仿宋_GB2312" w:hAnsi="仿宋_GB2312" w:eastAsia="仿宋_GB2312" w:cs="仿宋_GB2312"/>
                <w:color w:val="000000"/>
                <w:sz w:val="22"/>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Ex>
        <w:trPr>
          <w:trHeight w:val="290" w:hRule="atLeast"/>
        </w:trPr>
        <w:tc>
          <w:tcPr>
            <w:tcW w:w="2772" w:type="dxa"/>
            <w:shd w:val="clear" w:color="auto" w:fill="auto"/>
            <w:vAlign w:val="center"/>
          </w:tcPr>
          <w:p>
            <w:pPr>
              <w:keepNext w:val="0"/>
              <w:keepLines w:val="0"/>
              <w:widowControl/>
              <w:suppressLineNumbers w:val="0"/>
              <w:spacing w:before="0" w:beforeAutospacing="0" w:after="0" w:afterAutospacing="0"/>
              <w:ind w:left="0" w:right="0"/>
              <w:jc w:val="center"/>
              <w:rPr>
                <w:rFonts w:hint="eastAsia" w:ascii="仿宋_GB2312" w:hAnsi="仿宋_GB2312" w:eastAsia="仿宋_GB2312" w:cs="仿宋_GB2312"/>
                <w:color w:val="000000"/>
                <w:sz w:val="22"/>
              </w:rPr>
            </w:pPr>
            <w:r>
              <w:rPr>
                <w:rFonts w:hint="eastAsia" w:ascii="仿宋_GB2312" w:hAnsi="仿宋_GB2312" w:eastAsia="仿宋_GB2312" w:cs="仿宋_GB2312"/>
                <w:color w:val="000000"/>
                <w:sz w:val="22"/>
              </w:rPr>
              <w:t>青年学生</w:t>
            </w:r>
          </w:p>
        </w:tc>
        <w:tc>
          <w:tcPr>
            <w:tcW w:w="1488" w:type="dxa"/>
            <w:shd w:val="clear" w:color="auto" w:fill="auto"/>
            <w:vAlign w:val="bottom"/>
          </w:tcPr>
          <w:p>
            <w:pPr>
              <w:keepNext w:val="0"/>
              <w:keepLines w:val="0"/>
              <w:widowControl/>
              <w:suppressLineNumbers w:val="0"/>
              <w:spacing w:before="0" w:beforeAutospacing="0" w:after="0" w:afterAutospacing="0"/>
              <w:ind w:left="0" w:right="0"/>
              <w:jc w:val="center"/>
              <w:rPr>
                <w:rFonts w:hint="eastAsia" w:ascii="仿宋_GB2312" w:hAnsi="仿宋_GB2312" w:eastAsia="仿宋_GB2312" w:cs="仿宋_GB2312"/>
                <w:color w:val="000000"/>
                <w:sz w:val="22"/>
              </w:rPr>
            </w:pPr>
            <w:r>
              <w:rPr>
                <w:rFonts w:hint="eastAsia" w:ascii="仿宋_GB2312" w:hAnsi="仿宋_GB2312" w:eastAsia="仿宋_GB2312" w:cs="仿宋_GB2312"/>
                <w:color w:val="000000"/>
                <w:sz w:val="22"/>
              </w:rPr>
              <w:t>500</w:t>
            </w:r>
          </w:p>
        </w:tc>
        <w:tc>
          <w:tcPr>
            <w:tcW w:w="1488" w:type="dxa"/>
            <w:shd w:val="clear" w:color="auto" w:fill="auto"/>
            <w:vAlign w:val="bottom"/>
          </w:tcPr>
          <w:p>
            <w:pPr>
              <w:keepNext w:val="0"/>
              <w:keepLines w:val="0"/>
              <w:widowControl/>
              <w:suppressLineNumbers w:val="0"/>
              <w:spacing w:before="0" w:beforeAutospacing="0" w:after="0" w:afterAutospacing="0"/>
              <w:ind w:left="0" w:right="0"/>
              <w:jc w:val="center"/>
              <w:rPr>
                <w:rFonts w:hint="eastAsia" w:ascii="仿宋_GB2312" w:hAnsi="仿宋_GB2312" w:eastAsia="仿宋_GB2312" w:cs="仿宋_GB2312"/>
                <w:color w:val="000000"/>
                <w:sz w:val="22"/>
              </w:rPr>
            </w:pPr>
            <w:r>
              <w:rPr>
                <w:rFonts w:hint="eastAsia" w:ascii="仿宋_GB2312" w:hAnsi="仿宋_GB2312" w:eastAsia="仿宋_GB2312" w:cs="仿宋_GB2312"/>
                <w:color w:val="000000"/>
                <w:sz w:val="22"/>
              </w:rPr>
              <w:t>500</w:t>
            </w:r>
          </w:p>
        </w:tc>
        <w:tc>
          <w:tcPr>
            <w:tcW w:w="1488" w:type="dxa"/>
            <w:shd w:val="clear" w:color="auto" w:fill="auto"/>
            <w:vAlign w:val="bottom"/>
          </w:tcPr>
          <w:p>
            <w:pPr>
              <w:keepNext w:val="0"/>
              <w:keepLines w:val="0"/>
              <w:widowControl/>
              <w:suppressLineNumbers w:val="0"/>
              <w:spacing w:before="0" w:beforeAutospacing="0" w:after="0" w:afterAutospacing="0"/>
              <w:ind w:left="0" w:right="0"/>
              <w:jc w:val="center"/>
              <w:rPr>
                <w:rFonts w:hint="eastAsia" w:ascii="仿宋_GB2312" w:hAnsi="仿宋_GB2312" w:eastAsia="仿宋_GB2312" w:cs="仿宋_GB2312"/>
                <w:color w:val="000000"/>
                <w:sz w:val="22"/>
              </w:rPr>
            </w:pPr>
            <w:r>
              <w:rPr>
                <w:rFonts w:hint="eastAsia" w:ascii="仿宋_GB2312" w:hAnsi="仿宋_GB2312" w:eastAsia="仿宋_GB2312" w:cs="仿宋_GB2312"/>
                <w:color w:val="000000"/>
                <w:sz w:val="22"/>
              </w:rPr>
              <w:t>500</w:t>
            </w:r>
          </w:p>
        </w:tc>
        <w:tc>
          <w:tcPr>
            <w:tcW w:w="1484" w:type="dxa"/>
            <w:shd w:val="clear" w:color="auto" w:fill="auto"/>
            <w:vAlign w:val="bottom"/>
          </w:tcPr>
          <w:p>
            <w:pPr>
              <w:keepNext w:val="0"/>
              <w:keepLines w:val="0"/>
              <w:widowControl/>
              <w:suppressLineNumbers w:val="0"/>
              <w:spacing w:before="0" w:beforeAutospacing="0" w:after="0" w:afterAutospacing="0"/>
              <w:ind w:left="0" w:right="0"/>
              <w:jc w:val="center"/>
              <w:rPr>
                <w:rFonts w:hint="eastAsia" w:ascii="仿宋_GB2312" w:hAnsi="仿宋_GB2312" w:eastAsia="仿宋_GB2312" w:cs="仿宋_GB2312"/>
                <w:color w:val="000000"/>
                <w:sz w:val="22"/>
              </w:rPr>
            </w:pPr>
            <w:r>
              <w:rPr>
                <w:rFonts w:hint="eastAsia" w:ascii="仿宋_GB2312" w:hAnsi="仿宋_GB2312" w:eastAsia="仿宋_GB2312" w:cs="仿宋_GB2312"/>
                <w:color w:val="000000"/>
                <w:sz w:val="22"/>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Ex>
        <w:trPr>
          <w:trHeight w:val="290" w:hRule="atLeast"/>
        </w:trPr>
        <w:tc>
          <w:tcPr>
            <w:tcW w:w="2772" w:type="dxa"/>
            <w:shd w:val="clear" w:color="auto" w:fill="auto"/>
            <w:vAlign w:val="center"/>
          </w:tcPr>
          <w:p>
            <w:pPr>
              <w:keepNext w:val="0"/>
              <w:keepLines w:val="0"/>
              <w:widowControl/>
              <w:suppressLineNumbers w:val="0"/>
              <w:spacing w:before="0" w:beforeAutospacing="0" w:after="0" w:afterAutospacing="0"/>
              <w:ind w:left="0" w:right="0"/>
              <w:jc w:val="center"/>
              <w:rPr>
                <w:rFonts w:hint="eastAsia" w:ascii="仿宋_GB2312" w:hAnsi="仿宋_GB2312" w:eastAsia="仿宋_GB2312" w:cs="仿宋_GB2312"/>
                <w:color w:val="000000"/>
                <w:sz w:val="22"/>
              </w:rPr>
            </w:pPr>
            <w:r>
              <w:rPr>
                <w:rFonts w:hint="eastAsia" w:ascii="仿宋_GB2312" w:hAnsi="仿宋_GB2312" w:eastAsia="仿宋_GB2312" w:cs="仿宋_GB2312"/>
                <w:color w:val="000000"/>
                <w:sz w:val="22"/>
              </w:rPr>
              <w:t>待业人员、下岗人员</w:t>
            </w:r>
          </w:p>
        </w:tc>
        <w:tc>
          <w:tcPr>
            <w:tcW w:w="1488" w:type="dxa"/>
            <w:shd w:val="clear" w:color="auto" w:fill="auto"/>
            <w:vAlign w:val="bottom"/>
          </w:tcPr>
          <w:p>
            <w:pPr>
              <w:keepNext w:val="0"/>
              <w:keepLines w:val="0"/>
              <w:widowControl/>
              <w:suppressLineNumbers w:val="0"/>
              <w:spacing w:before="0" w:beforeAutospacing="0" w:after="0" w:afterAutospacing="0"/>
              <w:ind w:left="0" w:right="0"/>
              <w:jc w:val="center"/>
              <w:rPr>
                <w:rFonts w:hint="eastAsia" w:ascii="仿宋_GB2312" w:hAnsi="仿宋_GB2312" w:eastAsia="仿宋_GB2312" w:cs="仿宋_GB2312"/>
                <w:color w:val="000000"/>
                <w:sz w:val="22"/>
              </w:rPr>
            </w:pPr>
            <w:r>
              <w:rPr>
                <w:rFonts w:hint="eastAsia" w:ascii="仿宋_GB2312" w:hAnsi="仿宋_GB2312" w:eastAsia="仿宋_GB2312" w:cs="仿宋_GB2312"/>
                <w:color w:val="000000"/>
                <w:sz w:val="22"/>
              </w:rPr>
              <w:t>150</w:t>
            </w:r>
          </w:p>
        </w:tc>
        <w:tc>
          <w:tcPr>
            <w:tcW w:w="1488" w:type="dxa"/>
            <w:shd w:val="clear" w:color="auto" w:fill="auto"/>
            <w:vAlign w:val="bottom"/>
          </w:tcPr>
          <w:p>
            <w:pPr>
              <w:keepNext w:val="0"/>
              <w:keepLines w:val="0"/>
              <w:widowControl/>
              <w:suppressLineNumbers w:val="0"/>
              <w:spacing w:before="0" w:beforeAutospacing="0" w:after="0" w:afterAutospacing="0"/>
              <w:ind w:left="0" w:right="0"/>
              <w:jc w:val="center"/>
              <w:rPr>
                <w:rFonts w:hint="eastAsia" w:ascii="仿宋_GB2312" w:hAnsi="仿宋_GB2312" w:eastAsia="仿宋_GB2312" w:cs="仿宋_GB2312"/>
                <w:color w:val="000000"/>
                <w:sz w:val="22"/>
              </w:rPr>
            </w:pPr>
            <w:r>
              <w:rPr>
                <w:rFonts w:hint="eastAsia" w:ascii="仿宋_GB2312" w:hAnsi="仿宋_GB2312" w:eastAsia="仿宋_GB2312" w:cs="仿宋_GB2312"/>
                <w:color w:val="000000"/>
                <w:sz w:val="22"/>
              </w:rPr>
              <w:t>150</w:t>
            </w:r>
          </w:p>
        </w:tc>
        <w:tc>
          <w:tcPr>
            <w:tcW w:w="1488" w:type="dxa"/>
            <w:shd w:val="clear" w:color="auto" w:fill="auto"/>
            <w:vAlign w:val="bottom"/>
          </w:tcPr>
          <w:p>
            <w:pPr>
              <w:keepNext w:val="0"/>
              <w:keepLines w:val="0"/>
              <w:widowControl/>
              <w:suppressLineNumbers w:val="0"/>
              <w:spacing w:before="0" w:beforeAutospacing="0" w:after="0" w:afterAutospacing="0"/>
              <w:ind w:left="0" w:right="0"/>
              <w:jc w:val="center"/>
              <w:rPr>
                <w:rFonts w:hint="eastAsia" w:ascii="仿宋_GB2312" w:hAnsi="仿宋_GB2312" w:eastAsia="仿宋_GB2312" w:cs="仿宋_GB2312"/>
                <w:color w:val="000000"/>
                <w:sz w:val="22"/>
              </w:rPr>
            </w:pPr>
            <w:r>
              <w:rPr>
                <w:rFonts w:hint="eastAsia" w:ascii="仿宋_GB2312" w:hAnsi="仿宋_GB2312" w:eastAsia="仿宋_GB2312" w:cs="仿宋_GB2312"/>
                <w:color w:val="000000"/>
                <w:sz w:val="22"/>
              </w:rPr>
              <w:t>150</w:t>
            </w:r>
          </w:p>
        </w:tc>
        <w:tc>
          <w:tcPr>
            <w:tcW w:w="1484" w:type="dxa"/>
            <w:shd w:val="clear" w:color="auto" w:fill="auto"/>
            <w:vAlign w:val="bottom"/>
          </w:tcPr>
          <w:p>
            <w:pPr>
              <w:keepNext w:val="0"/>
              <w:keepLines w:val="0"/>
              <w:widowControl/>
              <w:suppressLineNumbers w:val="0"/>
              <w:spacing w:before="0" w:beforeAutospacing="0" w:after="0" w:afterAutospacing="0"/>
              <w:ind w:left="0" w:right="0"/>
              <w:jc w:val="center"/>
              <w:rPr>
                <w:rFonts w:hint="eastAsia" w:ascii="仿宋_GB2312" w:hAnsi="仿宋_GB2312" w:eastAsia="仿宋_GB2312" w:cs="仿宋_GB2312"/>
                <w:color w:val="000000"/>
                <w:sz w:val="22"/>
              </w:rPr>
            </w:pPr>
            <w:r>
              <w:rPr>
                <w:rFonts w:hint="eastAsia" w:ascii="仿宋_GB2312" w:hAnsi="仿宋_GB2312" w:eastAsia="仿宋_GB2312" w:cs="仿宋_GB2312"/>
                <w:color w:val="000000"/>
                <w:sz w:val="22"/>
              </w:rPr>
              <w:t>50</w:t>
            </w:r>
          </w:p>
        </w:tc>
      </w:tr>
    </w:tbl>
    <w:p>
      <w:pPr>
        <w:widowControl/>
        <w:autoSpaceDE w:val="0"/>
        <w:autoSpaceDN w:val="0"/>
        <w:adjustRightInd w:val="0"/>
        <w:snapToGrid w:val="0"/>
        <w:spacing w:line="540" w:lineRule="atLeast"/>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3.体检及高额件规则附表：</w:t>
      </w:r>
    </w:p>
    <w:p>
      <w:pPr>
        <w:adjustRightInd w:val="0"/>
        <w:snapToGrid w:val="0"/>
        <w:spacing w:line="540" w:lineRule="atLeast"/>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（1）体检规则：本险种及鑫相伴与鑫福相伴系列产品累计首期保费超过下表免体检限额时，或同一被保险人所有长期险种累计寿险风险保额大于1200万元时，</w:t>
      </w:r>
      <w:r>
        <w:rPr>
          <w:rFonts w:hint="eastAsia" w:ascii="仿宋_GB2312" w:hAnsi="仿宋_GB2312" w:eastAsia="仿宋_GB2312" w:cs="仿宋_GB2312"/>
          <w:sz w:val="30"/>
          <w:szCs w:val="30"/>
          <w:lang w:bidi="ar"/>
        </w:rPr>
        <w:t>需进行F类体检。</w:t>
      </w:r>
    </w:p>
    <w:p>
      <w:pPr>
        <w:widowControl/>
        <w:adjustRightInd w:val="0"/>
        <w:snapToGrid w:val="0"/>
        <w:spacing w:line="540" w:lineRule="atLeast"/>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（2）高额件规则：</w:t>
      </w:r>
    </w:p>
    <w:p>
      <w:pPr>
        <w:autoSpaceDE w:val="0"/>
        <w:autoSpaceDN w:val="0"/>
        <w:adjustRightInd w:val="0"/>
        <w:snapToGrid w:val="0"/>
        <w:spacing w:line="540" w:lineRule="atLeast"/>
        <w:ind w:firstLine="600" w:firstLineChars="200"/>
        <w:rPr>
          <w:rFonts w:hint="eastAsia" w:ascii="仿宋_GB2312" w:hAnsi="仿宋_GB2312" w:eastAsia="仿宋_GB2312" w:cs="仿宋_GB2312"/>
          <w:color w:val="000000"/>
          <w:sz w:val="30"/>
          <w:szCs w:val="30"/>
        </w:rPr>
      </w:pPr>
      <w:r>
        <w:rPr>
          <w:rFonts w:hint="eastAsia" w:ascii="仿宋_GB2312" w:hAnsi="仿宋_GB2312" w:eastAsia="仿宋_GB2312" w:cs="仿宋_GB2312"/>
          <w:sz w:val="30"/>
          <w:szCs w:val="30"/>
        </w:rPr>
        <w:t>同一被保险人所有长期险种累计寿险风险保额大于1200万元，或同一被保险人所有长期险种累计意外身故保额大于1200万元的，或本险种及鑫相伴与鑫福相伴系列产品累计首期保费超过下表格限额，</w:t>
      </w:r>
      <w:r>
        <w:rPr>
          <w:rFonts w:hint="eastAsia" w:ascii="仿宋_GB2312" w:hAnsi="仿宋_GB2312" w:eastAsia="仿宋_GB2312" w:cs="仿宋_GB2312"/>
          <w:sz w:val="30"/>
          <w:szCs w:val="30"/>
          <w:lang w:bidi="ar"/>
        </w:rPr>
        <w:t>需要提供</w:t>
      </w:r>
      <w:r>
        <w:rPr>
          <w:rFonts w:hint="eastAsia" w:ascii="仿宋_GB2312" w:hAnsi="仿宋_GB2312" w:eastAsia="仿宋_GB2312" w:cs="仿宋_GB2312"/>
          <w:color w:val="000000"/>
          <w:sz w:val="30"/>
          <w:szCs w:val="30"/>
          <w:lang w:bidi="ar"/>
        </w:rPr>
        <w:t>财务资料+生调</w:t>
      </w:r>
      <w:r>
        <w:rPr>
          <w:rFonts w:hint="eastAsia" w:ascii="仿宋_GB2312" w:hAnsi="仿宋_GB2312" w:eastAsia="仿宋_GB2312" w:cs="仿宋_GB2312"/>
          <w:sz w:val="30"/>
          <w:szCs w:val="30"/>
        </w:rPr>
        <w:t>。</w:t>
      </w:r>
      <w:r>
        <w:rPr>
          <w:rFonts w:hint="eastAsia" w:ascii="仿宋_GB2312" w:hAnsi="仿宋_GB2312" w:eastAsia="仿宋_GB2312" w:cs="仿宋_GB2312"/>
          <w:color w:val="000000"/>
          <w:sz w:val="30"/>
          <w:szCs w:val="30"/>
        </w:rPr>
        <w:t xml:space="preserve"> </w:t>
      </w:r>
    </w:p>
    <w:p>
      <w:pPr>
        <w:widowControl/>
        <w:adjustRightInd w:val="0"/>
        <w:snapToGrid w:val="0"/>
        <w:spacing w:line="540" w:lineRule="atLeast"/>
        <w:ind w:firstLine="600" w:firstLineChars="200"/>
        <w:rPr>
          <w:rFonts w:hint="eastAsia" w:ascii="仿宋_GB2312" w:hAnsi="仿宋_GB2312" w:eastAsia="仿宋_GB2312" w:cs="仿宋_GB2312"/>
          <w:color w:val="000000"/>
          <w:sz w:val="30"/>
          <w:szCs w:val="30"/>
        </w:rPr>
      </w:pPr>
      <w:r>
        <w:rPr>
          <w:rFonts w:hint="eastAsia" w:ascii="仿宋_GB2312" w:hAnsi="仿宋_GB2312" w:eastAsia="仿宋_GB2312" w:cs="仿宋_GB2312"/>
          <w:color w:val="000000"/>
          <w:sz w:val="30"/>
          <w:szCs w:val="30"/>
        </w:rPr>
        <w:t>（3）71岁及以上，本险种3年交且与</w:t>
      </w:r>
      <w:r>
        <w:rPr>
          <w:rFonts w:hint="eastAsia" w:ascii="仿宋_GB2312" w:hAnsi="仿宋_GB2312" w:eastAsia="仿宋_GB2312" w:cs="仿宋_GB2312"/>
          <w:sz w:val="30"/>
          <w:szCs w:val="30"/>
        </w:rPr>
        <w:t>鑫相伴与鑫福相伴系列产品</w:t>
      </w:r>
      <w:r>
        <w:rPr>
          <w:rFonts w:hint="eastAsia" w:ascii="仿宋_GB2312" w:hAnsi="仿宋_GB2312" w:eastAsia="仿宋_GB2312" w:cs="仿宋_GB2312"/>
          <w:color w:val="000000"/>
          <w:sz w:val="30"/>
          <w:szCs w:val="30"/>
        </w:rPr>
        <w:t>累计首期保费超过800万，谢绝承保。</w:t>
      </w:r>
    </w:p>
    <w:tbl>
      <w:tblPr>
        <w:tblStyle w:val="4"/>
        <w:tblW w:w="8720" w:type="dxa"/>
        <w:tblInd w:w="0" w:type="dxa"/>
        <w:tblLayout w:type="fixed"/>
        <w:tblCellMar>
          <w:top w:w="0" w:type="dxa"/>
          <w:left w:w="10" w:type="dxa"/>
          <w:bottom w:w="0" w:type="dxa"/>
          <w:right w:w="10" w:type="dxa"/>
        </w:tblCellMar>
      </w:tblPr>
      <w:tblGrid>
        <w:gridCol w:w="1744"/>
        <w:gridCol w:w="1744"/>
        <w:gridCol w:w="1746"/>
        <w:gridCol w:w="1744"/>
        <w:gridCol w:w="1742"/>
      </w:tblGrid>
      <w:tr>
        <w:tblPrEx>
          <w:tblLayout w:type="fixed"/>
          <w:tblCellMar>
            <w:top w:w="0" w:type="dxa"/>
            <w:left w:w="10" w:type="dxa"/>
            <w:bottom w:w="0" w:type="dxa"/>
            <w:right w:w="10" w:type="dxa"/>
          </w:tblCellMar>
        </w:tblPrEx>
        <w:trPr>
          <w:trHeight w:val="460" w:hRule="atLeast"/>
        </w:trPr>
        <w:tc>
          <w:tcPr>
            <w:tcW w:w="8720"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eastAsia" w:ascii="仿宋_GB2312" w:hAnsi="仿宋_GB2312" w:eastAsia="仿宋_GB2312" w:cs="仿宋_GB2312"/>
                <w:b/>
                <w:bCs/>
                <w:color w:val="000000"/>
                <w:sz w:val="22"/>
              </w:rPr>
            </w:pPr>
            <w:r>
              <w:rPr>
                <w:rFonts w:hint="eastAsia" w:ascii="仿宋_GB2312" w:hAnsi="仿宋_GB2312" w:eastAsia="仿宋_GB2312" w:cs="仿宋_GB2312"/>
                <w:b/>
                <w:color w:val="000000"/>
                <w:sz w:val="24"/>
              </w:rPr>
              <w:t>免体检额及高额件标准（首期保费：万元）</w:t>
            </w:r>
          </w:p>
        </w:tc>
      </w:tr>
      <w:tr>
        <w:tblPrEx>
          <w:tblLayout w:type="fixed"/>
          <w:tblCellMar>
            <w:top w:w="0" w:type="dxa"/>
            <w:left w:w="10" w:type="dxa"/>
            <w:bottom w:w="0" w:type="dxa"/>
            <w:right w:w="10" w:type="dxa"/>
          </w:tblCellMar>
        </w:tblPrEx>
        <w:trPr>
          <w:trHeight w:val="243" w:hRule="atLeast"/>
        </w:trPr>
        <w:tc>
          <w:tcPr>
            <w:tcW w:w="1744" w:type="dxa"/>
            <w:tcBorders>
              <w:top w:val="single" w:color="auto" w:sz="4" w:space="0"/>
              <w:left w:val="single" w:color="auto" w:sz="4" w:space="0"/>
              <w:bottom w:val="single" w:color="auto" w:sz="4" w:space="0"/>
              <w:right w:val="single" w:color="auto" w:sz="4" w:space="0"/>
            </w:tcBorders>
            <w:shd w:val="clear" w:color="auto" w:fill="auto"/>
          </w:tcPr>
          <w:p>
            <w:pPr>
              <w:keepNext w:val="0"/>
              <w:keepLines w:val="0"/>
              <w:widowControl/>
              <w:suppressLineNumbers w:val="0"/>
              <w:spacing w:before="0" w:beforeAutospacing="0" w:after="0" w:afterAutospacing="0"/>
              <w:ind w:left="0" w:right="0"/>
              <w:jc w:val="center"/>
              <w:rPr>
                <w:rFonts w:hint="eastAsia" w:ascii="仿宋_GB2312" w:hAnsi="仿宋_GB2312" w:eastAsia="仿宋_GB2312" w:cs="仿宋_GB2312"/>
                <w:color w:val="000000"/>
                <w:sz w:val="24"/>
                <w:szCs w:val="28"/>
              </w:rPr>
            </w:pPr>
            <w:r>
              <w:rPr>
                <w:rFonts w:hint="eastAsia" w:ascii="仿宋_GB2312" w:hAnsi="仿宋_GB2312" w:eastAsia="仿宋_GB2312" w:cs="仿宋_GB2312"/>
                <w:color w:val="000000"/>
                <w:sz w:val="24"/>
                <w:szCs w:val="28"/>
              </w:rPr>
              <w:t>年龄</w:t>
            </w:r>
          </w:p>
        </w:tc>
        <w:tc>
          <w:tcPr>
            <w:tcW w:w="1744" w:type="dxa"/>
            <w:tcBorders>
              <w:top w:val="single" w:color="auto" w:sz="4" w:space="0"/>
              <w:left w:val="nil"/>
              <w:bottom w:val="single" w:color="auto" w:sz="4" w:space="0"/>
              <w:right w:val="single" w:color="auto" w:sz="4" w:space="0"/>
            </w:tcBorders>
            <w:shd w:val="clear" w:color="auto" w:fill="auto"/>
          </w:tcPr>
          <w:p>
            <w:pPr>
              <w:keepNext w:val="0"/>
              <w:keepLines w:val="0"/>
              <w:widowControl/>
              <w:suppressLineNumbers w:val="0"/>
              <w:spacing w:before="0" w:beforeAutospacing="0" w:after="0" w:afterAutospacing="0"/>
              <w:ind w:left="0" w:right="0"/>
              <w:jc w:val="center"/>
              <w:rPr>
                <w:rFonts w:hint="eastAsia" w:ascii="仿宋_GB2312" w:hAnsi="仿宋_GB2312" w:eastAsia="仿宋_GB2312" w:cs="仿宋_GB2312"/>
                <w:color w:val="000000"/>
                <w:sz w:val="24"/>
                <w:szCs w:val="28"/>
              </w:rPr>
            </w:pPr>
            <w:r>
              <w:rPr>
                <w:rFonts w:hint="eastAsia" w:ascii="仿宋_GB2312" w:hAnsi="仿宋_GB2312" w:eastAsia="仿宋_GB2312" w:cs="仿宋_GB2312"/>
                <w:color w:val="000000"/>
                <w:sz w:val="24"/>
                <w:szCs w:val="28"/>
              </w:rPr>
              <w:t>趸交</w:t>
            </w:r>
          </w:p>
        </w:tc>
        <w:tc>
          <w:tcPr>
            <w:tcW w:w="1746" w:type="dxa"/>
            <w:tcBorders>
              <w:top w:val="single" w:color="auto" w:sz="4" w:space="0"/>
              <w:left w:val="nil"/>
              <w:bottom w:val="single" w:color="auto" w:sz="4" w:space="0"/>
              <w:right w:val="single" w:color="auto" w:sz="4" w:space="0"/>
            </w:tcBorders>
            <w:shd w:val="clear" w:color="auto" w:fill="auto"/>
          </w:tcPr>
          <w:p>
            <w:pPr>
              <w:keepNext w:val="0"/>
              <w:keepLines w:val="0"/>
              <w:widowControl/>
              <w:suppressLineNumbers w:val="0"/>
              <w:spacing w:before="0" w:beforeAutospacing="0" w:after="0" w:afterAutospacing="0"/>
              <w:ind w:left="0" w:right="0"/>
              <w:jc w:val="center"/>
              <w:rPr>
                <w:rFonts w:hint="eastAsia" w:ascii="仿宋_GB2312" w:hAnsi="仿宋_GB2312" w:eastAsia="仿宋_GB2312" w:cs="仿宋_GB2312"/>
                <w:color w:val="000000"/>
                <w:sz w:val="24"/>
                <w:szCs w:val="28"/>
              </w:rPr>
            </w:pPr>
            <w:r>
              <w:rPr>
                <w:rFonts w:hint="eastAsia" w:ascii="仿宋_GB2312" w:hAnsi="仿宋_GB2312" w:eastAsia="仿宋_GB2312" w:cs="仿宋_GB2312"/>
                <w:color w:val="000000"/>
                <w:sz w:val="24"/>
                <w:szCs w:val="28"/>
              </w:rPr>
              <w:t>3年交</w:t>
            </w:r>
          </w:p>
        </w:tc>
        <w:tc>
          <w:tcPr>
            <w:tcW w:w="1744" w:type="dxa"/>
            <w:tcBorders>
              <w:top w:val="single" w:color="auto" w:sz="4" w:space="0"/>
              <w:left w:val="nil"/>
              <w:bottom w:val="single" w:color="auto" w:sz="4" w:space="0"/>
              <w:right w:val="single" w:color="auto" w:sz="4" w:space="0"/>
            </w:tcBorders>
            <w:shd w:val="clear" w:color="auto" w:fill="auto"/>
          </w:tcPr>
          <w:p>
            <w:pPr>
              <w:keepNext w:val="0"/>
              <w:keepLines w:val="0"/>
              <w:widowControl/>
              <w:suppressLineNumbers w:val="0"/>
              <w:spacing w:before="0" w:beforeAutospacing="0" w:after="0" w:afterAutospacing="0"/>
              <w:ind w:left="0" w:right="0"/>
              <w:jc w:val="center"/>
              <w:rPr>
                <w:rFonts w:hint="eastAsia" w:ascii="仿宋_GB2312" w:hAnsi="仿宋_GB2312" w:eastAsia="仿宋_GB2312" w:cs="仿宋_GB2312"/>
                <w:color w:val="000000"/>
                <w:sz w:val="24"/>
                <w:szCs w:val="28"/>
              </w:rPr>
            </w:pPr>
            <w:r>
              <w:rPr>
                <w:rFonts w:hint="eastAsia" w:ascii="仿宋_GB2312" w:hAnsi="仿宋_GB2312" w:eastAsia="仿宋_GB2312" w:cs="仿宋_GB2312"/>
                <w:color w:val="000000"/>
                <w:sz w:val="24"/>
                <w:szCs w:val="28"/>
              </w:rPr>
              <w:t>5年交</w:t>
            </w:r>
          </w:p>
        </w:tc>
        <w:tc>
          <w:tcPr>
            <w:tcW w:w="1742" w:type="dxa"/>
            <w:tcBorders>
              <w:top w:val="single" w:color="auto" w:sz="4" w:space="0"/>
              <w:left w:val="nil"/>
              <w:bottom w:val="single" w:color="auto" w:sz="4" w:space="0"/>
              <w:right w:val="single" w:color="auto" w:sz="4" w:space="0"/>
            </w:tcBorders>
            <w:shd w:val="clear" w:color="auto" w:fill="auto"/>
          </w:tcPr>
          <w:p>
            <w:pPr>
              <w:keepNext w:val="0"/>
              <w:keepLines w:val="0"/>
              <w:widowControl/>
              <w:suppressLineNumbers w:val="0"/>
              <w:spacing w:before="0" w:beforeAutospacing="0" w:after="0" w:afterAutospacing="0"/>
              <w:ind w:left="0" w:right="0"/>
              <w:jc w:val="center"/>
              <w:rPr>
                <w:rFonts w:hint="eastAsia" w:ascii="仿宋_GB2312" w:hAnsi="仿宋_GB2312" w:eastAsia="仿宋_GB2312" w:cs="仿宋_GB2312"/>
                <w:color w:val="000000"/>
                <w:sz w:val="24"/>
                <w:szCs w:val="28"/>
              </w:rPr>
            </w:pPr>
            <w:r>
              <w:rPr>
                <w:rFonts w:hint="eastAsia" w:ascii="仿宋_GB2312" w:hAnsi="仿宋_GB2312" w:eastAsia="仿宋_GB2312" w:cs="仿宋_GB2312"/>
                <w:color w:val="000000"/>
                <w:sz w:val="24"/>
                <w:szCs w:val="28"/>
              </w:rPr>
              <w:t>10年交</w:t>
            </w:r>
          </w:p>
        </w:tc>
      </w:tr>
      <w:tr>
        <w:tblPrEx>
          <w:tblLayout w:type="fixed"/>
          <w:tblCellMar>
            <w:top w:w="0" w:type="dxa"/>
            <w:left w:w="10" w:type="dxa"/>
            <w:bottom w:w="0" w:type="dxa"/>
            <w:right w:w="10" w:type="dxa"/>
          </w:tblCellMar>
        </w:tblPrEx>
        <w:trPr>
          <w:trHeight w:val="340" w:hRule="atLeast"/>
        </w:trPr>
        <w:tc>
          <w:tcPr>
            <w:tcW w:w="1744" w:type="dxa"/>
            <w:tcBorders>
              <w:top w:val="single" w:color="auto" w:sz="4" w:space="0"/>
              <w:left w:val="single" w:color="auto" w:sz="4" w:space="0"/>
              <w:bottom w:val="single" w:color="auto" w:sz="4" w:space="0"/>
              <w:right w:val="single" w:color="auto" w:sz="4" w:space="0"/>
            </w:tcBorders>
            <w:shd w:val="clear" w:color="auto" w:fill="auto"/>
          </w:tcPr>
          <w:p>
            <w:pPr>
              <w:keepNext w:val="0"/>
              <w:keepLines w:val="0"/>
              <w:widowControl/>
              <w:suppressLineNumbers w:val="0"/>
              <w:spacing w:before="0" w:beforeAutospacing="0" w:after="0" w:afterAutospacing="0"/>
              <w:ind w:left="0" w:right="0"/>
              <w:jc w:val="center"/>
              <w:rPr>
                <w:rFonts w:hint="eastAsia" w:ascii="仿宋_GB2312" w:hAnsi="仿宋_GB2312" w:eastAsia="仿宋_GB2312" w:cs="仿宋_GB2312"/>
                <w:color w:val="000000"/>
                <w:sz w:val="24"/>
                <w:szCs w:val="28"/>
              </w:rPr>
            </w:pPr>
            <w:r>
              <w:rPr>
                <w:rFonts w:hint="eastAsia" w:ascii="仿宋_GB2312" w:hAnsi="仿宋_GB2312" w:eastAsia="仿宋_GB2312" w:cs="仿宋_GB2312"/>
                <w:color w:val="000000"/>
                <w:sz w:val="24"/>
                <w:szCs w:val="28"/>
              </w:rPr>
              <w:t>18-40</w:t>
            </w:r>
          </w:p>
        </w:tc>
        <w:tc>
          <w:tcPr>
            <w:tcW w:w="1744" w:type="dxa"/>
            <w:tcBorders>
              <w:top w:val="single" w:color="auto" w:sz="4" w:space="0"/>
              <w:left w:val="nil"/>
              <w:bottom w:val="single" w:color="auto" w:sz="4" w:space="0"/>
              <w:right w:val="single" w:color="auto" w:sz="4" w:space="0"/>
            </w:tcBorders>
            <w:shd w:val="clear" w:color="auto" w:fill="auto"/>
          </w:tcPr>
          <w:p>
            <w:pPr>
              <w:keepNext w:val="0"/>
              <w:keepLines w:val="0"/>
              <w:widowControl/>
              <w:suppressLineNumbers w:val="0"/>
              <w:spacing w:before="0" w:beforeAutospacing="0" w:after="0" w:afterAutospacing="0"/>
              <w:ind w:left="0" w:right="0"/>
              <w:jc w:val="center"/>
              <w:rPr>
                <w:rFonts w:hint="eastAsia" w:ascii="仿宋_GB2312" w:hAnsi="仿宋_GB2312" w:eastAsia="仿宋_GB2312" w:cs="仿宋_GB2312"/>
                <w:color w:val="000000"/>
                <w:sz w:val="24"/>
                <w:szCs w:val="28"/>
              </w:rPr>
            </w:pPr>
            <w:r>
              <w:rPr>
                <w:rFonts w:hint="eastAsia" w:ascii="仿宋_GB2312" w:hAnsi="仿宋_GB2312" w:eastAsia="仿宋_GB2312" w:cs="仿宋_GB2312"/>
                <w:color w:val="000000"/>
                <w:sz w:val="24"/>
                <w:szCs w:val="28"/>
              </w:rPr>
              <w:t>2000</w:t>
            </w:r>
          </w:p>
        </w:tc>
        <w:tc>
          <w:tcPr>
            <w:tcW w:w="1746" w:type="dxa"/>
            <w:tcBorders>
              <w:top w:val="single" w:color="auto" w:sz="4" w:space="0"/>
              <w:left w:val="nil"/>
              <w:bottom w:val="single" w:color="auto" w:sz="4" w:space="0"/>
              <w:right w:val="single" w:color="auto" w:sz="4" w:space="0"/>
            </w:tcBorders>
            <w:shd w:val="clear" w:color="auto" w:fill="auto"/>
          </w:tcPr>
          <w:p>
            <w:pPr>
              <w:keepNext w:val="0"/>
              <w:keepLines w:val="0"/>
              <w:widowControl/>
              <w:suppressLineNumbers w:val="0"/>
              <w:spacing w:before="0" w:beforeAutospacing="0" w:after="0" w:afterAutospacing="0"/>
              <w:ind w:left="0" w:right="0"/>
              <w:jc w:val="center"/>
              <w:rPr>
                <w:rFonts w:hint="eastAsia" w:ascii="仿宋_GB2312" w:hAnsi="仿宋_GB2312" w:eastAsia="仿宋_GB2312" w:cs="仿宋_GB2312"/>
                <w:color w:val="000000"/>
                <w:sz w:val="24"/>
                <w:szCs w:val="28"/>
              </w:rPr>
            </w:pPr>
            <w:r>
              <w:rPr>
                <w:rFonts w:hint="eastAsia" w:ascii="仿宋_GB2312" w:hAnsi="仿宋_GB2312" w:eastAsia="仿宋_GB2312" w:cs="仿宋_GB2312"/>
                <w:color w:val="000000"/>
                <w:sz w:val="24"/>
                <w:szCs w:val="28"/>
              </w:rPr>
              <w:t>1100</w:t>
            </w:r>
          </w:p>
        </w:tc>
        <w:tc>
          <w:tcPr>
            <w:tcW w:w="1744" w:type="dxa"/>
            <w:tcBorders>
              <w:top w:val="single" w:color="auto" w:sz="4" w:space="0"/>
              <w:left w:val="nil"/>
              <w:bottom w:val="single" w:color="auto" w:sz="4" w:space="0"/>
              <w:right w:val="single" w:color="auto" w:sz="4" w:space="0"/>
            </w:tcBorders>
            <w:shd w:val="clear" w:color="auto" w:fill="auto"/>
          </w:tcPr>
          <w:p>
            <w:pPr>
              <w:keepNext w:val="0"/>
              <w:keepLines w:val="0"/>
              <w:widowControl/>
              <w:suppressLineNumbers w:val="0"/>
              <w:spacing w:before="0" w:beforeAutospacing="0" w:after="0" w:afterAutospacing="0"/>
              <w:ind w:left="0" w:right="0"/>
              <w:jc w:val="center"/>
              <w:rPr>
                <w:rFonts w:hint="eastAsia" w:ascii="仿宋_GB2312" w:hAnsi="仿宋_GB2312" w:eastAsia="仿宋_GB2312" w:cs="仿宋_GB2312"/>
                <w:color w:val="000000"/>
                <w:sz w:val="24"/>
                <w:szCs w:val="28"/>
              </w:rPr>
            </w:pPr>
            <w:r>
              <w:rPr>
                <w:rFonts w:hint="eastAsia" w:ascii="仿宋_GB2312" w:hAnsi="仿宋_GB2312" w:eastAsia="仿宋_GB2312" w:cs="仿宋_GB2312"/>
                <w:color w:val="000000"/>
                <w:sz w:val="24"/>
                <w:szCs w:val="28"/>
              </w:rPr>
              <w:t>1000</w:t>
            </w:r>
          </w:p>
        </w:tc>
        <w:tc>
          <w:tcPr>
            <w:tcW w:w="1742" w:type="dxa"/>
            <w:tcBorders>
              <w:top w:val="single" w:color="auto" w:sz="4" w:space="0"/>
              <w:left w:val="nil"/>
              <w:bottom w:val="single" w:color="auto" w:sz="4" w:space="0"/>
              <w:right w:val="single" w:color="auto" w:sz="4" w:space="0"/>
            </w:tcBorders>
            <w:shd w:val="clear" w:color="auto" w:fill="auto"/>
          </w:tcPr>
          <w:p>
            <w:pPr>
              <w:keepNext w:val="0"/>
              <w:keepLines w:val="0"/>
              <w:widowControl/>
              <w:suppressLineNumbers w:val="0"/>
              <w:spacing w:before="0" w:beforeAutospacing="0" w:after="0" w:afterAutospacing="0"/>
              <w:ind w:left="0" w:right="0"/>
              <w:jc w:val="center"/>
              <w:rPr>
                <w:rFonts w:hint="eastAsia" w:ascii="仿宋_GB2312" w:hAnsi="仿宋_GB2312" w:eastAsia="仿宋_GB2312" w:cs="仿宋_GB2312"/>
                <w:color w:val="000000"/>
                <w:sz w:val="24"/>
                <w:szCs w:val="28"/>
              </w:rPr>
            </w:pPr>
            <w:r>
              <w:rPr>
                <w:rFonts w:hint="eastAsia" w:ascii="仿宋_GB2312" w:hAnsi="仿宋_GB2312" w:eastAsia="仿宋_GB2312" w:cs="仿宋_GB2312"/>
                <w:color w:val="000000"/>
                <w:sz w:val="24"/>
                <w:szCs w:val="28"/>
              </w:rPr>
              <w:t>200</w:t>
            </w:r>
          </w:p>
        </w:tc>
      </w:tr>
      <w:tr>
        <w:tblPrEx>
          <w:tblLayout w:type="fixed"/>
          <w:tblCellMar>
            <w:top w:w="0" w:type="dxa"/>
            <w:left w:w="10" w:type="dxa"/>
            <w:bottom w:w="0" w:type="dxa"/>
            <w:right w:w="10" w:type="dxa"/>
          </w:tblCellMar>
        </w:tblPrEx>
        <w:trPr>
          <w:trHeight w:val="340" w:hRule="atLeast"/>
        </w:trPr>
        <w:tc>
          <w:tcPr>
            <w:tcW w:w="1744" w:type="dxa"/>
            <w:tcBorders>
              <w:top w:val="single" w:color="auto" w:sz="4" w:space="0"/>
              <w:left w:val="single" w:color="auto" w:sz="4" w:space="0"/>
              <w:bottom w:val="single" w:color="auto" w:sz="4" w:space="0"/>
              <w:right w:val="single" w:color="auto" w:sz="4" w:space="0"/>
            </w:tcBorders>
            <w:shd w:val="clear" w:color="auto" w:fill="auto"/>
          </w:tcPr>
          <w:p>
            <w:pPr>
              <w:keepNext w:val="0"/>
              <w:keepLines w:val="0"/>
              <w:widowControl/>
              <w:suppressLineNumbers w:val="0"/>
              <w:spacing w:before="0" w:beforeAutospacing="0" w:after="0" w:afterAutospacing="0"/>
              <w:ind w:left="0" w:right="0"/>
              <w:jc w:val="center"/>
              <w:rPr>
                <w:rFonts w:hint="eastAsia" w:ascii="仿宋_GB2312" w:hAnsi="仿宋_GB2312" w:eastAsia="仿宋_GB2312" w:cs="仿宋_GB2312"/>
                <w:color w:val="000000"/>
                <w:sz w:val="24"/>
                <w:szCs w:val="28"/>
              </w:rPr>
            </w:pPr>
            <w:r>
              <w:rPr>
                <w:rFonts w:hint="eastAsia" w:ascii="仿宋_GB2312" w:hAnsi="仿宋_GB2312" w:eastAsia="仿宋_GB2312" w:cs="仿宋_GB2312"/>
                <w:color w:val="000000"/>
                <w:sz w:val="24"/>
                <w:szCs w:val="28"/>
              </w:rPr>
              <w:t>41-50</w:t>
            </w:r>
          </w:p>
        </w:tc>
        <w:tc>
          <w:tcPr>
            <w:tcW w:w="1744" w:type="dxa"/>
            <w:tcBorders>
              <w:top w:val="single" w:color="auto" w:sz="4" w:space="0"/>
              <w:left w:val="nil"/>
              <w:bottom w:val="single" w:color="auto" w:sz="4" w:space="0"/>
              <w:right w:val="single" w:color="auto" w:sz="4" w:space="0"/>
            </w:tcBorders>
            <w:shd w:val="clear" w:color="auto" w:fill="auto"/>
          </w:tcPr>
          <w:p>
            <w:pPr>
              <w:keepNext w:val="0"/>
              <w:keepLines w:val="0"/>
              <w:widowControl/>
              <w:suppressLineNumbers w:val="0"/>
              <w:spacing w:before="0" w:beforeAutospacing="0" w:after="0" w:afterAutospacing="0"/>
              <w:ind w:left="0" w:right="0"/>
              <w:jc w:val="center"/>
              <w:rPr>
                <w:rFonts w:hint="eastAsia" w:ascii="仿宋_GB2312" w:hAnsi="仿宋_GB2312" w:eastAsia="仿宋_GB2312" w:cs="仿宋_GB2312"/>
                <w:color w:val="000000"/>
                <w:sz w:val="24"/>
                <w:szCs w:val="28"/>
              </w:rPr>
            </w:pPr>
            <w:r>
              <w:rPr>
                <w:rFonts w:hint="eastAsia" w:ascii="仿宋_GB2312" w:hAnsi="仿宋_GB2312" w:eastAsia="仿宋_GB2312" w:cs="仿宋_GB2312"/>
                <w:color w:val="000000"/>
                <w:sz w:val="24"/>
                <w:szCs w:val="28"/>
              </w:rPr>
              <w:t>2500</w:t>
            </w:r>
          </w:p>
        </w:tc>
        <w:tc>
          <w:tcPr>
            <w:tcW w:w="1746" w:type="dxa"/>
            <w:tcBorders>
              <w:top w:val="single" w:color="auto" w:sz="4" w:space="0"/>
              <w:left w:val="nil"/>
              <w:bottom w:val="single" w:color="auto" w:sz="4" w:space="0"/>
              <w:right w:val="single" w:color="auto" w:sz="4" w:space="0"/>
            </w:tcBorders>
            <w:shd w:val="clear" w:color="auto" w:fill="auto"/>
          </w:tcPr>
          <w:p>
            <w:pPr>
              <w:keepNext w:val="0"/>
              <w:keepLines w:val="0"/>
              <w:widowControl/>
              <w:suppressLineNumbers w:val="0"/>
              <w:spacing w:before="0" w:beforeAutospacing="0" w:after="0" w:afterAutospacing="0"/>
              <w:ind w:left="0" w:right="0"/>
              <w:jc w:val="center"/>
              <w:rPr>
                <w:rFonts w:hint="eastAsia" w:ascii="仿宋_GB2312" w:hAnsi="仿宋_GB2312" w:eastAsia="仿宋_GB2312" w:cs="仿宋_GB2312"/>
                <w:color w:val="000000"/>
                <w:sz w:val="24"/>
                <w:szCs w:val="28"/>
              </w:rPr>
            </w:pPr>
            <w:r>
              <w:rPr>
                <w:rFonts w:hint="eastAsia" w:ascii="仿宋_GB2312" w:hAnsi="仿宋_GB2312" w:eastAsia="仿宋_GB2312" w:cs="仿宋_GB2312"/>
                <w:color w:val="000000"/>
                <w:sz w:val="24"/>
                <w:szCs w:val="28"/>
              </w:rPr>
              <w:t>1100</w:t>
            </w:r>
          </w:p>
        </w:tc>
        <w:tc>
          <w:tcPr>
            <w:tcW w:w="1744" w:type="dxa"/>
            <w:tcBorders>
              <w:top w:val="single" w:color="auto" w:sz="4" w:space="0"/>
              <w:left w:val="nil"/>
              <w:bottom w:val="single" w:color="auto" w:sz="4" w:space="0"/>
              <w:right w:val="single" w:color="auto" w:sz="4" w:space="0"/>
            </w:tcBorders>
            <w:shd w:val="clear" w:color="auto" w:fill="auto"/>
          </w:tcPr>
          <w:p>
            <w:pPr>
              <w:keepNext w:val="0"/>
              <w:keepLines w:val="0"/>
              <w:widowControl/>
              <w:suppressLineNumbers w:val="0"/>
              <w:spacing w:before="0" w:beforeAutospacing="0" w:after="0" w:afterAutospacing="0"/>
              <w:ind w:left="0" w:right="0"/>
              <w:jc w:val="center"/>
              <w:rPr>
                <w:rFonts w:hint="eastAsia" w:ascii="仿宋_GB2312" w:hAnsi="仿宋_GB2312" w:eastAsia="仿宋_GB2312" w:cs="仿宋_GB2312"/>
                <w:color w:val="000000"/>
                <w:sz w:val="24"/>
                <w:szCs w:val="28"/>
              </w:rPr>
            </w:pPr>
            <w:r>
              <w:rPr>
                <w:rFonts w:hint="eastAsia" w:ascii="仿宋_GB2312" w:hAnsi="仿宋_GB2312" w:eastAsia="仿宋_GB2312" w:cs="仿宋_GB2312"/>
                <w:color w:val="000000"/>
                <w:sz w:val="24"/>
                <w:szCs w:val="28"/>
              </w:rPr>
              <w:t>1000</w:t>
            </w:r>
          </w:p>
        </w:tc>
        <w:tc>
          <w:tcPr>
            <w:tcW w:w="1742" w:type="dxa"/>
            <w:tcBorders>
              <w:top w:val="single" w:color="auto" w:sz="4" w:space="0"/>
              <w:left w:val="nil"/>
              <w:bottom w:val="single" w:color="auto" w:sz="4" w:space="0"/>
              <w:right w:val="single" w:color="auto" w:sz="4" w:space="0"/>
            </w:tcBorders>
            <w:shd w:val="clear" w:color="auto" w:fill="auto"/>
          </w:tcPr>
          <w:p>
            <w:pPr>
              <w:keepNext w:val="0"/>
              <w:keepLines w:val="0"/>
              <w:widowControl/>
              <w:suppressLineNumbers w:val="0"/>
              <w:spacing w:before="0" w:beforeAutospacing="0" w:after="0" w:afterAutospacing="0"/>
              <w:ind w:left="0" w:right="0"/>
              <w:jc w:val="center"/>
              <w:rPr>
                <w:rFonts w:hint="eastAsia" w:ascii="仿宋_GB2312" w:hAnsi="仿宋_GB2312" w:eastAsia="仿宋_GB2312" w:cs="仿宋_GB2312"/>
                <w:color w:val="000000"/>
                <w:sz w:val="24"/>
                <w:szCs w:val="28"/>
              </w:rPr>
            </w:pPr>
            <w:r>
              <w:rPr>
                <w:rFonts w:hint="eastAsia" w:ascii="仿宋_GB2312" w:hAnsi="仿宋_GB2312" w:eastAsia="仿宋_GB2312" w:cs="仿宋_GB2312"/>
                <w:color w:val="000000"/>
                <w:sz w:val="24"/>
                <w:szCs w:val="28"/>
              </w:rPr>
              <w:t>250</w:t>
            </w:r>
          </w:p>
        </w:tc>
      </w:tr>
      <w:tr>
        <w:tblPrEx>
          <w:tblLayout w:type="fixed"/>
          <w:tblCellMar>
            <w:top w:w="0" w:type="dxa"/>
            <w:left w:w="10" w:type="dxa"/>
            <w:bottom w:w="0" w:type="dxa"/>
            <w:right w:w="10" w:type="dxa"/>
          </w:tblCellMar>
        </w:tblPrEx>
        <w:trPr>
          <w:trHeight w:val="340" w:hRule="atLeast"/>
        </w:trPr>
        <w:tc>
          <w:tcPr>
            <w:tcW w:w="1744" w:type="dxa"/>
            <w:tcBorders>
              <w:top w:val="single" w:color="auto" w:sz="4" w:space="0"/>
              <w:left w:val="single" w:color="auto" w:sz="4" w:space="0"/>
              <w:bottom w:val="single" w:color="auto" w:sz="4" w:space="0"/>
              <w:right w:val="single" w:color="auto" w:sz="4" w:space="0"/>
            </w:tcBorders>
            <w:shd w:val="clear" w:color="auto" w:fill="auto"/>
          </w:tcPr>
          <w:p>
            <w:pPr>
              <w:keepNext w:val="0"/>
              <w:keepLines w:val="0"/>
              <w:widowControl/>
              <w:suppressLineNumbers w:val="0"/>
              <w:spacing w:before="0" w:beforeAutospacing="0" w:after="0" w:afterAutospacing="0"/>
              <w:ind w:left="0" w:right="0"/>
              <w:jc w:val="center"/>
              <w:rPr>
                <w:rFonts w:hint="eastAsia" w:ascii="仿宋_GB2312" w:hAnsi="仿宋_GB2312" w:eastAsia="仿宋_GB2312" w:cs="仿宋_GB2312"/>
                <w:color w:val="000000"/>
                <w:sz w:val="24"/>
                <w:szCs w:val="28"/>
              </w:rPr>
            </w:pPr>
            <w:r>
              <w:rPr>
                <w:rFonts w:hint="eastAsia" w:ascii="仿宋_GB2312" w:hAnsi="仿宋_GB2312" w:eastAsia="仿宋_GB2312" w:cs="仿宋_GB2312"/>
                <w:color w:val="000000"/>
                <w:sz w:val="24"/>
                <w:szCs w:val="28"/>
              </w:rPr>
              <w:t>51-60</w:t>
            </w:r>
          </w:p>
        </w:tc>
        <w:tc>
          <w:tcPr>
            <w:tcW w:w="1744" w:type="dxa"/>
            <w:tcBorders>
              <w:top w:val="single" w:color="auto" w:sz="4" w:space="0"/>
              <w:left w:val="nil"/>
              <w:bottom w:val="single" w:color="auto" w:sz="4" w:space="0"/>
              <w:right w:val="single" w:color="auto" w:sz="4" w:space="0"/>
            </w:tcBorders>
            <w:shd w:val="clear" w:color="auto" w:fill="auto"/>
          </w:tcPr>
          <w:p>
            <w:pPr>
              <w:keepNext w:val="0"/>
              <w:keepLines w:val="0"/>
              <w:widowControl/>
              <w:suppressLineNumbers w:val="0"/>
              <w:spacing w:before="0" w:beforeAutospacing="0" w:after="0" w:afterAutospacing="0"/>
              <w:ind w:left="0" w:right="0"/>
              <w:jc w:val="center"/>
              <w:rPr>
                <w:rFonts w:hint="eastAsia" w:ascii="仿宋_GB2312" w:hAnsi="仿宋_GB2312" w:eastAsia="仿宋_GB2312" w:cs="仿宋_GB2312"/>
                <w:color w:val="000000"/>
                <w:sz w:val="24"/>
                <w:szCs w:val="28"/>
              </w:rPr>
            </w:pPr>
            <w:r>
              <w:rPr>
                <w:rFonts w:hint="eastAsia" w:ascii="仿宋_GB2312" w:hAnsi="仿宋_GB2312" w:eastAsia="仿宋_GB2312" w:cs="仿宋_GB2312"/>
                <w:color w:val="000000"/>
                <w:sz w:val="24"/>
                <w:szCs w:val="28"/>
              </w:rPr>
              <w:t>1500</w:t>
            </w:r>
          </w:p>
        </w:tc>
        <w:tc>
          <w:tcPr>
            <w:tcW w:w="1746" w:type="dxa"/>
            <w:tcBorders>
              <w:top w:val="single" w:color="auto" w:sz="4" w:space="0"/>
              <w:left w:val="nil"/>
              <w:bottom w:val="single" w:color="auto" w:sz="4" w:space="0"/>
              <w:right w:val="single" w:color="auto" w:sz="4" w:space="0"/>
            </w:tcBorders>
            <w:shd w:val="clear" w:color="auto" w:fill="auto"/>
          </w:tcPr>
          <w:p>
            <w:pPr>
              <w:keepNext w:val="0"/>
              <w:keepLines w:val="0"/>
              <w:widowControl/>
              <w:suppressLineNumbers w:val="0"/>
              <w:spacing w:before="0" w:beforeAutospacing="0" w:after="0" w:afterAutospacing="0"/>
              <w:ind w:left="0" w:right="0"/>
              <w:jc w:val="center"/>
              <w:rPr>
                <w:rFonts w:hint="eastAsia" w:ascii="仿宋_GB2312" w:hAnsi="仿宋_GB2312" w:eastAsia="仿宋_GB2312" w:cs="仿宋_GB2312"/>
                <w:color w:val="000000"/>
                <w:sz w:val="24"/>
                <w:szCs w:val="28"/>
              </w:rPr>
            </w:pPr>
            <w:r>
              <w:rPr>
                <w:rFonts w:hint="eastAsia" w:ascii="仿宋_GB2312" w:hAnsi="仿宋_GB2312" w:eastAsia="仿宋_GB2312" w:cs="仿宋_GB2312"/>
                <w:color w:val="000000"/>
                <w:sz w:val="24"/>
                <w:szCs w:val="28"/>
              </w:rPr>
              <w:t>700</w:t>
            </w:r>
          </w:p>
        </w:tc>
        <w:tc>
          <w:tcPr>
            <w:tcW w:w="1744" w:type="dxa"/>
            <w:tcBorders>
              <w:top w:val="single" w:color="auto" w:sz="4" w:space="0"/>
              <w:left w:val="nil"/>
              <w:bottom w:val="single" w:color="auto" w:sz="4" w:space="0"/>
              <w:right w:val="single" w:color="auto" w:sz="4" w:space="0"/>
            </w:tcBorders>
            <w:shd w:val="clear" w:color="auto" w:fill="auto"/>
          </w:tcPr>
          <w:p>
            <w:pPr>
              <w:keepNext w:val="0"/>
              <w:keepLines w:val="0"/>
              <w:widowControl/>
              <w:suppressLineNumbers w:val="0"/>
              <w:spacing w:before="0" w:beforeAutospacing="0" w:after="0" w:afterAutospacing="0"/>
              <w:ind w:left="0" w:right="0"/>
              <w:jc w:val="center"/>
              <w:rPr>
                <w:rFonts w:hint="eastAsia" w:ascii="仿宋_GB2312" w:hAnsi="仿宋_GB2312" w:eastAsia="仿宋_GB2312" w:cs="仿宋_GB2312"/>
                <w:color w:val="000000"/>
                <w:sz w:val="24"/>
                <w:szCs w:val="28"/>
              </w:rPr>
            </w:pPr>
            <w:r>
              <w:rPr>
                <w:rFonts w:hint="eastAsia" w:ascii="仿宋_GB2312" w:hAnsi="仿宋_GB2312" w:eastAsia="仿宋_GB2312" w:cs="仿宋_GB2312"/>
                <w:color w:val="000000"/>
                <w:sz w:val="24"/>
                <w:szCs w:val="28"/>
              </w:rPr>
              <w:t>600</w:t>
            </w:r>
          </w:p>
        </w:tc>
        <w:tc>
          <w:tcPr>
            <w:tcW w:w="1742" w:type="dxa"/>
            <w:tcBorders>
              <w:top w:val="single" w:color="auto" w:sz="4" w:space="0"/>
              <w:left w:val="nil"/>
              <w:bottom w:val="single" w:color="auto" w:sz="4" w:space="0"/>
              <w:right w:val="single" w:color="auto" w:sz="4" w:space="0"/>
            </w:tcBorders>
            <w:shd w:val="clear" w:color="auto" w:fill="auto"/>
          </w:tcPr>
          <w:p>
            <w:pPr>
              <w:keepNext w:val="0"/>
              <w:keepLines w:val="0"/>
              <w:widowControl/>
              <w:suppressLineNumbers w:val="0"/>
              <w:spacing w:before="0" w:beforeAutospacing="0" w:after="0" w:afterAutospacing="0"/>
              <w:ind w:left="0" w:right="0"/>
              <w:jc w:val="center"/>
              <w:rPr>
                <w:rFonts w:hint="eastAsia" w:ascii="仿宋_GB2312" w:hAnsi="仿宋_GB2312" w:eastAsia="仿宋_GB2312" w:cs="仿宋_GB2312"/>
                <w:color w:val="000000"/>
                <w:sz w:val="24"/>
                <w:szCs w:val="28"/>
              </w:rPr>
            </w:pPr>
            <w:r>
              <w:rPr>
                <w:rFonts w:hint="eastAsia" w:ascii="仿宋_GB2312" w:hAnsi="仿宋_GB2312" w:eastAsia="仿宋_GB2312" w:cs="仿宋_GB2312"/>
                <w:color w:val="000000"/>
                <w:sz w:val="24"/>
                <w:szCs w:val="28"/>
              </w:rPr>
              <w:t>150</w:t>
            </w:r>
          </w:p>
        </w:tc>
      </w:tr>
      <w:tr>
        <w:tblPrEx>
          <w:tblLayout w:type="fixed"/>
          <w:tblCellMar>
            <w:top w:w="0" w:type="dxa"/>
            <w:left w:w="10" w:type="dxa"/>
            <w:bottom w:w="0" w:type="dxa"/>
            <w:right w:w="10" w:type="dxa"/>
          </w:tblCellMar>
        </w:tblPrEx>
        <w:trPr>
          <w:trHeight w:val="340" w:hRule="atLeast"/>
        </w:trPr>
        <w:tc>
          <w:tcPr>
            <w:tcW w:w="1744" w:type="dxa"/>
            <w:tcBorders>
              <w:top w:val="single" w:color="auto" w:sz="4" w:space="0"/>
              <w:left w:val="single" w:color="auto" w:sz="4" w:space="0"/>
              <w:bottom w:val="single" w:color="auto" w:sz="4" w:space="0"/>
              <w:right w:val="single" w:color="auto" w:sz="4" w:space="0"/>
            </w:tcBorders>
            <w:shd w:val="clear" w:color="auto" w:fill="auto"/>
          </w:tcPr>
          <w:p>
            <w:pPr>
              <w:keepNext w:val="0"/>
              <w:keepLines w:val="0"/>
              <w:widowControl/>
              <w:suppressLineNumbers w:val="0"/>
              <w:spacing w:before="0" w:beforeAutospacing="0" w:after="0" w:afterAutospacing="0"/>
              <w:ind w:left="0" w:right="0"/>
              <w:jc w:val="center"/>
              <w:rPr>
                <w:rFonts w:hint="eastAsia" w:ascii="仿宋_GB2312" w:hAnsi="仿宋_GB2312" w:eastAsia="仿宋_GB2312" w:cs="仿宋_GB2312"/>
                <w:color w:val="000000"/>
                <w:sz w:val="24"/>
                <w:szCs w:val="28"/>
              </w:rPr>
            </w:pPr>
            <w:r>
              <w:rPr>
                <w:rFonts w:hint="eastAsia" w:ascii="仿宋_GB2312" w:hAnsi="仿宋_GB2312" w:eastAsia="仿宋_GB2312" w:cs="仿宋_GB2312"/>
                <w:color w:val="000000"/>
                <w:sz w:val="24"/>
                <w:szCs w:val="28"/>
              </w:rPr>
              <w:t>61-70</w:t>
            </w:r>
          </w:p>
        </w:tc>
        <w:tc>
          <w:tcPr>
            <w:tcW w:w="1744" w:type="dxa"/>
            <w:tcBorders>
              <w:top w:val="single" w:color="auto" w:sz="4" w:space="0"/>
              <w:left w:val="nil"/>
              <w:bottom w:val="single" w:color="auto" w:sz="4" w:space="0"/>
              <w:right w:val="single" w:color="auto" w:sz="4" w:space="0"/>
            </w:tcBorders>
            <w:shd w:val="clear" w:color="auto" w:fill="auto"/>
          </w:tcPr>
          <w:p>
            <w:pPr>
              <w:keepNext w:val="0"/>
              <w:keepLines w:val="0"/>
              <w:widowControl/>
              <w:suppressLineNumbers w:val="0"/>
              <w:spacing w:before="0" w:beforeAutospacing="0" w:after="0" w:afterAutospacing="0"/>
              <w:ind w:left="0" w:right="0"/>
              <w:jc w:val="center"/>
              <w:rPr>
                <w:rFonts w:hint="eastAsia" w:ascii="仿宋_GB2312" w:hAnsi="仿宋_GB2312" w:eastAsia="仿宋_GB2312" w:cs="仿宋_GB2312"/>
                <w:color w:val="000000"/>
                <w:sz w:val="24"/>
                <w:szCs w:val="28"/>
              </w:rPr>
            </w:pPr>
            <w:r>
              <w:rPr>
                <w:rFonts w:hint="eastAsia" w:ascii="仿宋_GB2312" w:hAnsi="仿宋_GB2312" w:eastAsia="仿宋_GB2312" w:cs="仿宋_GB2312"/>
                <w:color w:val="000000"/>
                <w:sz w:val="24"/>
                <w:szCs w:val="28"/>
              </w:rPr>
              <w:t>750</w:t>
            </w:r>
          </w:p>
        </w:tc>
        <w:tc>
          <w:tcPr>
            <w:tcW w:w="1746" w:type="dxa"/>
            <w:tcBorders>
              <w:top w:val="single" w:color="auto" w:sz="4" w:space="0"/>
              <w:left w:val="nil"/>
              <w:bottom w:val="single" w:color="auto" w:sz="4" w:space="0"/>
              <w:right w:val="single" w:color="auto" w:sz="4" w:space="0"/>
            </w:tcBorders>
            <w:shd w:val="clear" w:color="auto" w:fill="auto"/>
          </w:tcPr>
          <w:p>
            <w:pPr>
              <w:keepNext w:val="0"/>
              <w:keepLines w:val="0"/>
              <w:widowControl/>
              <w:suppressLineNumbers w:val="0"/>
              <w:spacing w:before="0" w:beforeAutospacing="0" w:after="0" w:afterAutospacing="0"/>
              <w:ind w:left="0" w:right="0"/>
              <w:jc w:val="center"/>
              <w:rPr>
                <w:rFonts w:hint="eastAsia" w:ascii="仿宋_GB2312" w:hAnsi="仿宋_GB2312" w:eastAsia="仿宋_GB2312" w:cs="仿宋_GB2312"/>
                <w:color w:val="000000"/>
                <w:sz w:val="24"/>
                <w:szCs w:val="28"/>
              </w:rPr>
            </w:pPr>
            <w:r>
              <w:rPr>
                <w:rFonts w:hint="eastAsia" w:ascii="仿宋_GB2312" w:hAnsi="仿宋_GB2312" w:eastAsia="仿宋_GB2312" w:cs="仿宋_GB2312"/>
                <w:color w:val="000000"/>
                <w:sz w:val="24"/>
                <w:szCs w:val="28"/>
              </w:rPr>
              <w:t>450</w:t>
            </w:r>
          </w:p>
        </w:tc>
        <w:tc>
          <w:tcPr>
            <w:tcW w:w="1744" w:type="dxa"/>
            <w:tcBorders>
              <w:top w:val="single" w:color="auto" w:sz="4" w:space="0"/>
              <w:left w:val="nil"/>
              <w:bottom w:val="single" w:color="auto" w:sz="4" w:space="0"/>
              <w:right w:val="single" w:color="auto" w:sz="4" w:space="0"/>
            </w:tcBorders>
            <w:shd w:val="clear" w:color="auto" w:fill="auto"/>
          </w:tcPr>
          <w:p>
            <w:pPr>
              <w:keepNext w:val="0"/>
              <w:keepLines w:val="0"/>
              <w:widowControl/>
              <w:suppressLineNumbers w:val="0"/>
              <w:spacing w:before="0" w:beforeAutospacing="0" w:after="0" w:afterAutospacing="0"/>
              <w:ind w:left="0" w:right="0"/>
              <w:jc w:val="center"/>
              <w:rPr>
                <w:rFonts w:hint="eastAsia" w:ascii="仿宋_GB2312" w:hAnsi="仿宋_GB2312" w:eastAsia="仿宋_GB2312" w:cs="仿宋_GB2312"/>
                <w:color w:val="000000"/>
                <w:sz w:val="24"/>
                <w:szCs w:val="28"/>
              </w:rPr>
            </w:pPr>
            <w:r>
              <w:rPr>
                <w:rFonts w:hint="eastAsia" w:ascii="仿宋_GB2312" w:hAnsi="仿宋_GB2312" w:eastAsia="仿宋_GB2312" w:cs="仿宋_GB2312"/>
                <w:color w:val="000000"/>
                <w:sz w:val="24"/>
                <w:szCs w:val="28"/>
              </w:rPr>
              <w:t>450</w:t>
            </w:r>
          </w:p>
        </w:tc>
        <w:tc>
          <w:tcPr>
            <w:tcW w:w="1742" w:type="dxa"/>
            <w:tcBorders>
              <w:top w:val="single" w:color="auto" w:sz="4" w:space="0"/>
              <w:left w:val="nil"/>
              <w:bottom w:val="single" w:color="auto" w:sz="4" w:space="0"/>
              <w:right w:val="single" w:color="auto" w:sz="4" w:space="0"/>
            </w:tcBorders>
            <w:shd w:val="clear" w:color="auto" w:fill="auto"/>
          </w:tcPr>
          <w:p>
            <w:pPr>
              <w:keepNext w:val="0"/>
              <w:keepLines w:val="0"/>
              <w:widowControl/>
              <w:suppressLineNumbers w:val="0"/>
              <w:spacing w:before="0" w:beforeAutospacing="0" w:after="0" w:afterAutospacing="0"/>
              <w:ind w:left="0" w:right="0"/>
              <w:jc w:val="center"/>
              <w:rPr>
                <w:rFonts w:hint="eastAsia" w:ascii="仿宋_GB2312" w:hAnsi="仿宋_GB2312" w:eastAsia="仿宋_GB2312" w:cs="仿宋_GB2312"/>
                <w:color w:val="000000"/>
                <w:sz w:val="24"/>
                <w:szCs w:val="28"/>
              </w:rPr>
            </w:pPr>
            <w:r>
              <w:rPr>
                <w:rFonts w:hint="eastAsia" w:ascii="仿宋_GB2312" w:hAnsi="仿宋_GB2312" w:eastAsia="仿宋_GB2312" w:cs="仿宋_GB2312"/>
                <w:color w:val="000000"/>
                <w:sz w:val="24"/>
                <w:szCs w:val="28"/>
              </w:rPr>
              <w:t>75</w:t>
            </w:r>
          </w:p>
        </w:tc>
      </w:tr>
      <w:tr>
        <w:tblPrEx>
          <w:tblLayout w:type="fixed"/>
          <w:tblCellMar>
            <w:top w:w="0" w:type="dxa"/>
            <w:left w:w="10" w:type="dxa"/>
            <w:bottom w:w="0" w:type="dxa"/>
            <w:right w:w="10" w:type="dxa"/>
          </w:tblCellMar>
        </w:tblPrEx>
        <w:trPr>
          <w:trHeight w:val="340" w:hRule="atLeast"/>
        </w:trPr>
        <w:tc>
          <w:tcPr>
            <w:tcW w:w="1744" w:type="dxa"/>
            <w:tcBorders>
              <w:top w:val="single" w:color="auto" w:sz="4" w:space="0"/>
              <w:left w:val="single" w:color="auto" w:sz="4" w:space="0"/>
              <w:bottom w:val="single" w:color="auto" w:sz="4" w:space="0"/>
              <w:right w:val="single" w:color="auto" w:sz="4" w:space="0"/>
            </w:tcBorders>
            <w:shd w:val="clear" w:color="auto" w:fill="auto"/>
          </w:tcPr>
          <w:p>
            <w:pPr>
              <w:keepNext w:val="0"/>
              <w:keepLines w:val="0"/>
              <w:widowControl/>
              <w:suppressLineNumbers w:val="0"/>
              <w:spacing w:before="0" w:beforeAutospacing="0" w:after="0" w:afterAutospacing="0"/>
              <w:ind w:left="0" w:right="0"/>
              <w:jc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71+</w:t>
            </w:r>
          </w:p>
        </w:tc>
        <w:tc>
          <w:tcPr>
            <w:tcW w:w="1744" w:type="dxa"/>
            <w:tcBorders>
              <w:top w:val="single" w:color="auto" w:sz="4" w:space="0"/>
              <w:left w:val="nil"/>
              <w:bottom w:val="single" w:color="auto" w:sz="4" w:space="0"/>
              <w:right w:val="single" w:color="auto" w:sz="4" w:space="0"/>
            </w:tcBorders>
            <w:shd w:val="clear" w:color="auto" w:fill="auto"/>
          </w:tcPr>
          <w:p>
            <w:pPr>
              <w:keepNext w:val="0"/>
              <w:keepLines w:val="0"/>
              <w:widowControl/>
              <w:suppressLineNumbers w:val="0"/>
              <w:spacing w:before="0" w:beforeAutospacing="0" w:after="0" w:afterAutospacing="0"/>
              <w:ind w:left="0" w:right="0"/>
              <w:jc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200</w:t>
            </w:r>
          </w:p>
        </w:tc>
        <w:tc>
          <w:tcPr>
            <w:tcW w:w="1746" w:type="dxa"/>
            <w:tcBorders>
              <w:top w:val="single" w:color="auto" w:sz="4" w:space="0"/>
              <w:left w:val="nil"/>
              <w:bottom w:val="single" w:color="auto" w:sz="4" w:space="0"/>
              <w:right w:val="single" w:color="auto" w:sz="4" w:space="0"/>
            </w:tcBorders>
            <w:shd w:val="clear" w:color="auto" w:fill="auto"/>
          </w:tcPr>
          <w:p>
            <w:pPr>
              <w:keepNext w:val="0"/>
              <w:keepLines w:val="0"/>
              <w:widowControl/>
              <w:suppressLineNumbers w:val="0"/>
              <w:spacing w:before="0" w:beforeAutospacing="0" w:after="0" w:afterAutospacing="0"/>
              <w:ind w:left="0" w:right="0"/>
              <w:jc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100</w:t>
            </w:r>
          </w:p>
        </w:tc>
        <w:tc>
          <w:tcPr>
            <w:tcW w:w="1744" w:type="dxa"/>
            <w:tcBorders>
              <w:top w:val="single" w:color="auto" w:sz="4" w:space="0"/>
              <w:left w:val="nil"/>
              <w:bottom w:val="single" w:color="auto" w:sz="4" w:space="0"/>
              <w:right w:val="single" w:color="auto" w:sz="4" w:space="0"/>
            </w:tcBorders>
            <w:shd w:val="clear" w:color="auto" w:fill="auto"/>
          </w:tcPr>
          <w:p>
            <w:pPr>
              <w:keepNext w:val="0"/>
              <w:keepLines w:val="0"/>
              <w:widowControl/>
              <w:suppressLineNumbers w:val="0"/>
              <w:spacing w:before="0" w:beforeAutospacing="0" w:after="0" w:afterAutospacing="0"/>
              <w:ind w:left="0" w:right="0"/>
              <w:jc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w:t>
            </w:r>
          </w:p>
        </w:tc>
        <w:tc>
          <w:tcPr>
            <w:tcW w:w="1742" w:type="dxa"/>
            <w:tcBorders>
              <w:top w:val="single" w:color="auto" w:sz="4" w:space="0"/>
              <w:left w:val="nil"/>
              <w:bottom w:val="single" w:color="auto" w:sz="4" w:space="0"/>
              <w:right w:val="single" w:color="auto" w:sz="4" w:space="0"/>
            </w:tcBorders>
            <w:shd w:val="clear" w:color="auto" w:fill="auto"/>
          </w:tcPr>
          <w:p>
            <w:pPr>
              <w:keepNext w:val="0"/>
              <w:keepLines w:val="0"/>
              <w:widowControl/>
              <w:suppressLineNumbers w:val="0"/>
              <w:spacing w:before="0" w:beforeAutospacing="0" w:after="0" w:afterAutospacing="0"/>
              <w:ind w:left="0" w:right="0"/>
              <w:jc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w:t>
            </w:r>
          </w:p>
        </w:tc>
      </w:tr>
    </w:tbl>
    <w:p>
      <w:pPr>
        <w:widowControl/>
        <w:autoSpaceDE w:val="0"/>
        <w:autoSpaceDN w:val="0"/>
        <w:adjustRightInd w:val="0"/>
        <w:snapToGrid w:val="0"/>
        <w:spacing w:line="540" w:lineRule="atLeast"/>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bidi="ar"/>
        </w:rPr>
        <w:t>（4）体检项目</w:t>
      </w:r>
    </w:p>
    <w:p>
      <w:pPr>
        <w:widowControl/>
        <w:shd w:val="clear" w:color="auto" w:fill="FFFFFF"/>
        <w:autoSpaceDE w:val="0"/>
        <w:autoSpaceDN w:val="0"/>
        <w:adjustRightInd w:val="0"/>
        <w:snapToGrid w:val="0"/>
        <w:spacing w:line="540" w:lineRule="atLeast"/>
        <w:ind w:firstLine="600" w:firstLineChars="200"/>
        <w:rPr>
          <w:rFonts w:hint="eastAsia" w:ascii="仿宋_GB2312" w:hAnsi="仿宋_GB2312" w:eastAsia="仿宋_GB2312" w:cs="仿宋_GB2312"/>
          <w:sz w:val="30"/>
          <w:szCs w:val="30"/>
          <w:shd w:val="clear" w:color="auto" w:fill="FFFFFF"/>
        </w:rPr>
      </w:pPr>
      <w:r>
        <w:rPr>
          <w:rFonts w:hint="eastAsia" w:ascii="仿宋_GB2312" w:hAnsi="仿宋_GB2312" w:eastAsia="仿宋_GB2312" w:cs="仿宋_GB2312"/>
          <w:sz w:val="30"/>
          <w:szCs w:val="30"/>
          <w:shd w:val="clear" w:color="auto" w:fill="FFFFFF"/>
          <w:lang w:bidi="ar"/>
        </w:rPr>
        <w:t>未成年人达到转核要求的，需提供如下资料：</w:t>
      </w:r>
    </w:p>
    <w:p>
      <w:pPr>
        <w:widowControl/>
        <w:shd w:val="clear" w:color="auto" w:fill="FFFFFF"/>
        <w:autoSpaceDE w:val="0"/>
        <w:autoSpaceDN w:val="0"/>
        <w:adjustRightInd w:val="0"/>
        <w:snapToGrid w:val="0"/>
        <w:spacing w:line="540" w:lineRule="atLeast"/>
        <w:ind w:firstLine="600" w:firstLineChars="200"/>
        <w:rPr>
          <w:rFonts w:hint="eastAsia" w:ascii="仿宋_GB2312" w:hAnsi="仿宋_GB2312" w:eastAsia="仿宋_GB2312" w:cs="仿宋_GB2312"/>
          <w:sz w:val="30"/>
          <w:szCs w:val="30"/>
          <w:shd w:val="clear" w:color="auto" w:fill="FFFFFF"/>
        </w:rPr>
      </w:pPr>
      <w:r>
        <w:rPr>
          <w:rFonts w:hint="eastAsia" w:ascii="仿宋_GB2312" w:hAnsi="仿宋_GB2312" w:eastAsia="仿宋_GB2312" w:cs="仿宋_GB2312"/>
          <w:sz w:val="30"/>
          <w:szCs w:val="30"/>
          <w:shd w:val="clear" w:color="auto" w:fill="FFFFFF"/>
          <w:lang w:bidi="ar"/>
        </w:rPr>
        <w:t>3周岁及以下被保险人应进行医院、社保排查+提供连续儿童保健记录或体检记录；4周岁（含）-17周岁被保险人的需要进行E类体检，保额较高时视情况另需增加体检项目。</w:t>
      </w:r>
    </w:p>
    <w:p>
      <w:pPr>
        <w:widowControl/>
        <w:shd w:val="clear" w:color="auto" w:fill="FFFFFF"/>
        <w:adjustRightInd w:val="0"/>
        <w:snapToGrid w:val="0"/>
        <w:spacing w:line="540" w:lineRule="atLeast"/>
        <w:ind w:firstLine="600" w:firstLineChars="200"/>
        <w:rPr>
          <w:rFonts w:hint="eastAsia" w:ascii="仿宋_GB2312" w:hAnsi="仿宋_GB2312" w:eastAsia="仿宋_GB2312" w:cs="仿宋_GB2312"/>
          <w:sz w:val="30"/>
          <w:szCs w:val="30"/>
          <w:shd w:val="clear" w:color="auto" w:fill="FFFFFF"/>
        </w:rPr>
      </w:pPr>
      <w:r>
        <w:rPr>
          <w:rFonts w:hint="eastAsia" w:ascii="仿宋_GB2312" w:hAnsi="仿宋_GB2312" w:eastAsia="仿宋_GB2312" w:cs="仿宋_GB2312"/>
          <w:sz w:val="30"/>
          <w:szCs w:val="30"/>
          <w:shd w:val="clear" w:color="auto" w:fill="FFFFFF"/>
          <w:lang w:bidi="ar"/>
        </w:rPr>
        <w:t>18周岁及以上被保险人：大于上述附表免体检标准的，需要进行F类体检，保额较高时视情况另需增加体检项目。</w:t>
      </w:r>
      <w:r>
        <w:rPr>
          <w:rFonts w:hint="eastAsia" w:ascii="仿宋_GB2312" w:hAnsi="仿宋_GB2312" w:eastAsia="仿宋_GB2312" w:cs="仿宋_GB2312"/>
          <w:sz w:val="30"/>
          <w:szCs w:val="30"/>
          <w:shd w:val="clear" w:color="auto" w:fill="FFFFFF"/>
          <w:lang w:bidi="ar"/>
        </w:rPr>
        <w:br w:type="textWrapping"/>
      </w:r>
      <w:r>
        <w:rPr>
          <w:rFonts w:hint="eastAsia" w:ascii="仿宋_GB2312" w:hAnsi="仿宋_GB2312" w:eastAsia="仿宋_GB2312" w:cs="仿宋_GB2312"/>
          <w:sz w:val="30"/>
          <w:szCs w:val="30"/>
          <w:shd w:val="clear" w:color="auto" w:fill="FFFFFF"/>
          <w:lang w:bidi="ar"/>
        </w:rPr>
        <w:t xml:space="preserve">    （5）财务核保要求</w:t>
      </w:r>
    </w:p>
    <w:p>
      <w:pPr>
        <w:widowControl/>
        <w:shd w:val="clear" w:color="auto" w:fill="FFFFFF"/>
        <w:adjustRightInd w:val="0"/>
        <w:snapToGrid w:val="0"/>
        <w:spacing w:line="540" w:lineRule="atLeast"/>
        <w:ind w:firstLine="600" w:firstLineChars="200"/>
        <w:rPr>
          <w:rFonts w:hint="eastAsia" w:ascii="仿宋_GB2312" w:hAnsi="仿宋_GB2312" w:eastAsia="仿宋_GB2312" w:cs="仿宋_GB2312"/>
          <w:color w:val="000000"/>
          <w:sz w:val="30"/>
          <w:szCs w:val="30"/>
          <w:shd w:val="clear" w:color="auto" w:fill="FFFFFF"/>
        </w:rPr>
      </w:pPr>
      <w:r>
        <w:rPr>
          <w:rFonts w:hint="eastAsia" w:ascii="仿宋_GB2312" w:hAnsi="仿宋_GB2312" w:eastAsia="仿宋_GB2312" w:cs="仿宋_GB2312"/>
          <w:color w:val="000000"/>
          <w:sz w:val="30"/>
          <w:szCs w:val="30"/>
          <w:shd w:val="clear" w:color="auto" w:fill="FFFFFF"/>
          <w:lang w:bidi="ar"/>
        </w:rPr>
        <w:t>超过特殊人群限额但未超过高额件标准的，开展生存调查并提供客观财务证明资料。</w:t>
      </w:r>
    </w:p>
    <w:p>
      <w:pPr>
        <w:widowControl/>
        <w:numPr>
          <w:ilvl w:val="255"/>
          <w:numId w:val="0"/>
        </w:numPr>
        <w:shd w:val="clear" w:color="auto" w:fill="FFFFFF"/>
        <w:adjustRightInd w:val="0"/>
        <w:snapToGrid w:val="0"/>
        <w:spacing w:line="540" w:lineRule="atLeast"/>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shd w:val="clear" w:color="auto" w:fill="FFFFFF"/>
          <w:lang w:bidi="ar"/>
        </w:rPr>
        <w:t>超过高额件标准的，填写高保额件财务问卷、进行生存调查并提供客观财务证明资料。</w:t>
      </w:r>
    </w:p>
    <w:p>
      <w:pPr>
        <w:widowControl/>
        <w:numPr>
          <w:ilvl w:val="255"/>
          <w:numId w:val="0"/>
        </w:numPr>
        <w:autoSpaceDE w:val="0"/>
        <w:autoSpaceDN w:val="0"/>
        <w:adjustRightInd w:val="0"/>
        <w:snapToGrid w:val="0"/>
        <w:spacing w:line="540" w:lineRule="atLeast"/>
        <w:ind w:firstLine="600" w:firstLineChars="200"/>
        <w:jc w:val="left"/>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4.转核规则</w:t>
      </w:r>
    </w:p>
    <w:p>
      <w:pPr>
        <w:widowControl/>
        <w:numPr>
          <w:ilvl w:val="255"/>
          <w:numId w:val="0"/>
        </w:numPr>
        <w:shd w:val="clear" w:color="auto" w:fill="FFFFFF"/>
        <w:snapToGrid w:val="0"/>
        <w:spacing w:line="540" w:lineRule="atLeast"/>
        <w:ind w:firstLine="600" w:firstLineChars="200"/>
        <w:jc w:val="left"/>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除上述特殊体检规则、高额件规则及险种累计规则外，本险种执行通用转核规则。</w:t>
      </w:r>
    </w:p>
    <w:p>
      <w:pPr>
        <w:widowControl/>
        <w:numPr>
          <w:ilvl w:val="255"/>
          <w:numId w:val="0"/>
        </w:numPr>
        <w:shd w:val="clear" w:color="auto" w:fill="FFFFFF"/>
        <w:snapToGrid w:val="0"/>
        <w:spacing w:line="540" w:lineRule="atLeast"/>
        <w:ind w:firstLine="600" w:firstLineChars="200"/>
        <w:jc w:val="left"/>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5.加费规则</w:t>
      </w:r>
    </w:p>
    <w:p>
      <w:pPr>
        <w:widowControl/>
        <w:autoSpaceDE w:val="0"/>
        <w:autoSpaceDN w:val="0"/>
        <w:adjustRightInd w:val="0"/>
        <w:snapToGrid w:val="0"/>
        <w:spacing w:line="540" w:lineRule="atLeast"/>
        <w:ind w:firstLine="600" w:firstLineChars="200"/>
        <w:rPr>
          <w:rFonts w:hint="eastAsia" w:ascii="仿宋_GB2312" w:hAnsi="仿宋_GB2312" w:eastAsia="仿宋_GB2312" w:cs="仿宋_GB2312"/>
          <w:color w:val="000000" w:themeColor="text1"/>
          <w:sz w:val="30"/>
          <w:szCs w:val="30"/>
        </w:rPr>
      </w:pPr>
      <w:r>
        <w:rPr>
          <w:rFonts w:hint="eastAsia" w:ascii="仿宋_GB2312" w:hAnsi="仿宋_GB2312" w:eastAsia="仿宋_GB2312" w:cs="仿宋_GB2312"/>
          <w:sz w:val="30"/>
          <w:szCs w:val="30"/>
        </w:rPr>
        <w:t>（1）健康加费：</w:t>
      </w:r>
      <w:r>
        <w:rPr>
          <w:rFonts w:hint="eastAsia" w:ascii="仿宋_GB2312" w:hAnsi="仿宋_GB2312" w:eastAsia="仿宋_GB2312" w:cs="仿宋_GB2312"/>
          <w:color w:val="000000" w:themeColor="text1"/>
          <w:sz w:val="30"/>
          <w:szCs w:val="30"/>
        </w:rPr>
        <w:t xml:space="preserve"> 建议寿险评点100点及以下不加费，</w:t>
      </w:r>
      <w:r>
        <w:rPr>
          <w:rFonts w:hint="eastAsia" w:ascii="仿宋_GB2312" w:hAnsi="仿宋_GB2312" w:eastAsia="仿宋_GB2312" w:cs="仿宋_GB2312"/>
          <w:color w:val="000000"/>
          <w:sz w:val="30"/>
          <w:szCs w:val="30"/>
        </w:rPr>
        <w:t>100点以上</w:t>
      </w:r>
      <w:r>
        <w:rPr>
          <w:rFonts w:hint="eastAsia" w:ascii="仿宋_GB2312" w:hAnsi="仿宋_GB2312" w:eastAsia="仿宋_GB2312" w:cs="仿宋_GB2312"/>
          <w:sz w:val="30"/>
          <w:szCs w:val="30"/>
        </w:rPr>
        <w:t>不接受投保。</w:t>
      </w:r>
    </w:p>
    <w:p>
      <w:pPr>
        <w:widowControl/>
        <w:autoSpaceDE w:val="0"/>
        <w:autoSpaceDN w:val="0"/>
        <w:adjustRightInd w:val="0"/>
        <w:snapToGrid w:val="0"/>
        <w:spacing w:line="540" w:lineRule="atLeast"/>
        <w:ind w:firstLine="600" w:firstLineChars="200"/>
        <w:jc w:val="left"/>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（2）职业加费：本险种无职业加费，寿险职业等级为拒保、特案类职业的，不接受投保。</w:t>
      </w:r>
    </w:p>
    <w:p>
      <w:pPr>
        <w:widowControl/>
        <w:adjustRightInd w:val="0"/>
        <w:snapToGrid w:val="0"/>
        <w:spacing w:line="540" w:lineRule="atLeast"/>
        <w:ind w:firstLine="601" w:firstLineChars="200"/>
        <w:rPr>
          <w:rFonts w:hint="eastAsia" w:ascii="仿宋_GB2312" w:hAnsi="仿宋_GB2312" w:eastAsia="仿宋_GB2312" w:cs="仿宋_GB2312"/>
          <w:b/>
          <w:sz w:val="30"/>
          <w:szCs w:val="30"/>
        </w:rPr>
      </w:pPr>
      <w:r>
        <w:rPr>
          <w:rFonts w:hint="eastAsia" w:ascii="仿宋_GB2312" w:hAnsi="仿宋_GB2312" w:eastAsia="仿宋_GB2312" w:cs="仿宋_GB2312"/>
          <w:b/>
          <w:sz w:val="30"/>
          <w:szCs w:val="30"/>
          <w:lang w:bidi="ar"/>
        </w:rPr>
        <w:t>四、投保单证</w:t>
      </w:r>
    </w:p>
    <w:p>
      <w:pPr>
        <w:widowControl/>
        <w:adjustRightInd w:val="0"/>
        <w:snapToGrid w:val="0"/>
        <w:spacing w:line="540" w:lineRule="atLeast"/>
        <w:ind w:firstLine="600" w:firstLineChars="200"/>
        <w:textAlignment w:val="baseline"/>
        <w:rPr>
          <w:rFonts w:hint="eastAsia" w:ascii="仿宋_GB2312" w:hAnsi="仿宋_GB2312" w:eastAsia="仿宋_GB2312" w:cs="仿宋_GB2312"/>
          <w:sz w:val="30"/>
          <w:szCs w:val="30"/>
        </w:rPr>
      </w:pPr>
      <w:r>
        <w:rPr>
          <w:rFonts w:hint="eastAsia" w:ascii="仿宋_GB2312" w:hAnsi="仿宋_GB2312" w:eastAsia="仿宋_GB2312" w:cs="仿宋_GB2312"/>
          <w:sz w:val="30"/>
          <w:szCs w:val="30"/>
          <w:lang w:bidi="ar"/>
        </w:rPr>
        <w:t>本险种使用《个人人身保险投保单》。</w:t>
      </w:r>
    </w:p>
    <w:p>
      <w:pPr>
        <w:autoSpaceDE w:val="0"/>
        <w:autoSpaceDN w:val="0"/>
        <w:adjustRightInd w:val="0"/>
        <w:snapToGrid w:val="0"/>
        <w:spacing w:line="540" w:lineRule="atLeast"/>
        <w:ind w:firstLine="601" w:firstLineChars="200"/>
        <w:rPr>
          <w:rFonts w:hint="eastAsia" w:ascii="仿宋_GB2312" w:hAnsi="仿宋_GB2312" w:eastAsia="仿宋_GB2312" w:cs="仿宋_GB2312"/>
          <w:b/>
          <w:sz w:val="30"/>
          <w:szCs w:val="30"/>
        </w:rPr>
      </w:pPr>
      <w:r>
        <w:rPr>
          <w:rFonts w:hint="eastAsia" w:ascii="仿宋_GB2312" w:hAnsi="仿宋_GB2312" w:eastAsia="仿宋_GB2312" w:cs="仿宋_GB2312"/>
          <w:b/>
          <w:sz w:val="30"/>
          <w:szCs w:val="30"/>
        </w:rPr>
        <w:t>五、健康告知</w:t>
      </w:r>
    </w:p>
    <w:p>
      <w:pPr>
        <w:snapToGrid w:val="0"/>
        <w:spacing w:line="540" w:lineRule="atLeast"/>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1、您是否过去六个月持续有下列症状：反复头痛或眩晕、晕厥、胸闷、胸痛、呼吸困难、肢体麻木、紫绀、咳血、呕血、浮肿、肝区疼痛、便血、黑便、血尿、蛋白尿、肿块、视力或听力下降、不明原因的声嘶、关节红肿或酸痛、不明原因皮下出血点、鼻出血、反复齿龈出血、长期低热、过去一年内体重增减超过5公斤、肌肉萎缩；或有下列疾病：恶性肿瘤、需要进一步检查排除恶性肿瘤的肿瘤、结节、赘生物、息肉等；高血压、冠心病、心肌梗塞、心脏瓣膜疾病、主动脉疾病、心肌病；脑中风、阿尔茨海默病、帕金森氏病；慢性肝炎、肝硬化、溃疡性结肠炎、克罗恩病；慢性肾炎、肾病综合症、尿毒症；慢性阻塞性肺病、间质性肺部疾病、肺气肿；糖尿病、肾上腺功能减退；类风湿性关节炎、强直性脊柱炎、系统性红斑狼疮、硬皮病、重症肌无力；精神疾患、抑郁症、瘫痪、癫痫、痴呆症、脑血管畸形、慢性脑炎、脑膜炎、重症肌无力、多发性硬化症、运动神经元疾病；血液疾病、血友病、白血病、再生障碍性贫血、被建议不宜献血；HIV感染、性病、结核病；视网膜/角膜疾病、青光眼、高度近视800度以上，中耳炎、神经性耳聋；是否曾吸食、注射毒品或未遵医嘱使用管制性成瘾类药物？</w:t>
      </w:r>
    </w:p>
    <w:p>
      <w:pPr>
        <w:autoSpaceDE w:val="0"/>
        <w:autoSpaceDN w:val="0"/>
        <w:adjustRightInd w:val="0"/>
        <w:snapToGrid w:val="0"/>
        <w:spacing w:line="540" w:lineRule="atLeast"/>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2、您在最近五年是否曾或正在接受诊疗、手术、住院治疗？是否因健康原因而被保险公司拒保、延期、加费、以除外条件承保或索赔保险金？</w:t>
      </w:r>
    </w:p>
    <w:p>
      <w:pPr>
        <w:autoSpaceDE w:val="0"/>
        <w:autoSpaceDN w:val="0"/>
        <w:adjustRightInd w:val="0"/>
        <w:snapToGrid w:val="0"/>
        <w:spacing w:line="540" w:lineRule="atLeast"/>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3、您的体重指数BMI（计算公式为：体重／身高的平方（kg／㎡））是否大于30？您是否吸烟超过20支/天，且每周不低于5天；饮酒超过以下数量：白酒4两／天、或洋酒4两／天，或葡萄酒750ml／天、或啤酒1500ml／天，且每周不低于5天？</w:t>
      </w:r>
    </w:p>
    <w:p>
      <w:pPr>
        <w:autoSpaceDE w:val="0"/>
        <w:autoSpaceDN w:val="0"/>
        <w:adjustRightInd w:val="0"/>
        <w:snapToGrid w:val="0"/>
        <w:spacing w:line="540" w:lineRule="atLeast"/>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4、是否有行动或智能障碍，视力、听力或中枢神经系统障碍，肢体畸形或缺损、跛行或其他缺陷？</w:t>
      </w:r>
    </w:p>
    <w:p>
      <w:pPr>
        <w:autoSpaceDE w:val="0"/>
        <w:autoSpaceDN w:val="0"/>
        <w:adjustRightInd w:val="0"/>
        <w:snapToGrid w:val="0"/>
        <w:spacing w:line="540" w:lineRule="atLeast"/>
        <w:ind w:firstLine="600" w:firstLineChars="200"/>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5、若被保险人为4周岁以下（含）未成年人，请回答如下问题：被保险人出生时是否早产、难产、过期产、产伤，是否有窒息史、抢救史或被置于保温箱史，体重低于2.5公斤？是否有畸形、发育迟缓、惊厥、抽搐、脑瘫、先天性疾病或遗传性疾病？</w:t>
      </w:r>
    </w:p>
    <w:sectPr>
      <w:footerReference r:id="rId3" w:type="default"/>
      <w:footerReference r:id="rId4" w:type="even"/>
      <w:pgSz w:w="11906" w:h="16838"/>
      <w:pgMar w:top="1474" w:right="1588" w:bottom="1588" w:left="1588" w:header="567" w:footer="113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86"/>
    <w:family w:val="auto"/>
    <w:pitch w:val="default"/>
    <w:sig w:usb0="00000000" w:usb1="00000000" w:usb2="00000000" w:usb3="00000000" w:csb0="00000000" w:csb1="00000000"/>
  </w:font>
  <w:font w:name="Wingdings">
    <w:altName w:val="Kingsoft Confetti"/>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汉仪中黑KW"/>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altName w:val="Kingsoft Sign"/>
    <w:panose1 w:val="05050102010706020507"/>
    <w:charset w:val="02"/>
    <w:family w:val="roman"/>
    <w:pitch w:val="default"/>
    <w:sig w:usb0="00000000" w:usb1="00000000" w:usb2="00000000" w:usb3="00000000" w:csb0="80000000" w:csb1="00000000"/>
  </w:font>
  <w:font w:name="Calibri">
    <w:altName w:val="Arial"/>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Kingsoft Confetti">
    <w:panose1 w:val="05000100010000000000"/>
    <w:charset w:val="00"/>
    <w:family w:val="auto"/>
    <w:pitch w:val="default"/>
    <w:sig w:usb0="00000000" w:usb1="00000000" w:usb2="00000000" w:usb3="00000000" w:csb0="8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00000000" w:usb2="00000000" w:usb3="00000000" w:csb0="80000000" w:csb1="00000000"/>
  </w:font>
  <w:font w:name="Arial">
    <w:panose1 w:val="020B0604020202020204"/>
    <w:charset w:val="00"/>
    <w:family w:val="auto"/>
    <w:pitch w:val="default"/>
    <w:sig w:usb0="E0002AFF" w:usb1="C0007843" w:usb2="00000009" w:usb3="00000000" w:csb0="400001FF" w:csb1="FFFF0000"/>
  </w:font>
  <w:font w:name="Futura Bk">
    <w:altName w:val="Arial"/>
    <w:panose1 w:val="00000000000000000000"/>
    <w:charset w:val="00"/>
    <w:family w:val="auto"/>
    <w:pitch w:val="default"/>
    <w:sig w:usb0="00000000" w:usb1="00000000" w:usb2="00000000" w:usb3="00000000" w:csb0="00000000" w:csb1="00000000"/>
  </w:font>
  <w:font w:name="仿宋_GB2312">
    <w:altName w:val="汉仪仿宋KW"/>
    <w:panose1 w:val="00000000000000000000"/>
    <w:charset w:val="86"/>
    <w:family w:val="auto"/>
    <w:pitch w:val="default"/>
    <w:sig w:usb0="00000000" w:usb1="00000000" w:usb2="00000000" w:usb3="00000000" w:csb0="00040000" w:csb1="00000000"/>
  </w:font>
  <w:font w:name="汉仪仿宋KW">
    <w:panose1 w:val="00020600040101010101"/>
    <w:charset w:val="86"/>
    <w:family w:val="auto"/>
    <w:pitch w:val="default"/>
    <w:sig w:usb0="A00002BF" w:usb1="18EF7CFA" w:usb2="00000016"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rap="around" w:vAnchor="text" w:hAnchor="margin" w:xAlign="center" w:y="1"/>
    </w:pPr>
    <w:r>
      <w:fldChar w:fldCharType="begin"/>
    </w:r>
    <w:r>
      <w:instrText xml:space="preserve">PAGE  </w:instrText>
    </w:r>
    <w:r>
      <w:fldChar w:fldCharType="separate"/>
    </w:r>
    <w:r>
      <w:t>1</w:t>
    </w:r>
    <w:r>
      <w:fldChar w:fldCharType="end"/>
    </w:r>
  </w:p>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rap="around" w:vAnchor="text" w:hAnchor="margin" w:xAlign="center" w:y="1"/>
    </w:pPr>
    <w:r>
      <w:fldChar w:fldCharType="begin"/>
    </w:r>
    <w:r>
      <w:instrText xml:space="preserve">PAGE  </w:instrText>
    </w:r>
    <w:r>
      <w:fldChar w:fldCharType="end"/>
    </w:r>
  </w:p>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isplayHorizontalDrawingGridEvery w:val="0"/>
  <w:displayVerticalDrawingGridEvery w:val="2"/>
  <w:characterSpacingControl w:val="doNotCompress"/>
  <w:compat>
    <w:balanceSingleByteDoubleByteWidth/>
    <w:doNotExpandShiftReturn/>
    <w:adjustLineHeightInTable/>
    <w:doNotWrapTextWithPunct/>
    <w:doNotUseEastAsianBreakRules/>
    <w:useFELayout/>
    <w:doNotUseIndentAsNumberingTabStop/>
    <w:useAltKinsokuLineBreakRules/>
    <w:splitPgBreakAndParaMark/>
    <w:compatSetting w:name="compatibilityMode" w:uri="http://schemas.microsoft.com/office/word" w:val="12"/>
  </w:compat>
  <w:rsids>
    <w:rsidRoot w:val="00AD0161"/>
    <w:rsid w:val="004B0715"/>
    <w:rsid w:val="00A567DD"/>
    <w:rsid w:val="00AD0161"/>
    <w:rsid w:val="00DD3D27"/>
    <w:rsid w:val="00E4226C"/>
    <w:rsid w:val="46AC2E94"/>
    <w:rsid w:val="4D511CD9"/>
    <w:rsid w:val="59766109"/>
    <w:rsid w:val="65860DB7"/>
    <w:rsid w:val="6EE10E31"/>
    <w:rsid w:val="746E7711"/>
    <w:rsid w:val="BBEF12B7"/>
    <w:rsid w:val="DDF743AF"/>
    <w:rsid w:val="F56B3F7C"/>
    <w:rsid w:val="FBDD5AC0"/>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Layout w:type="fixed"/>
      <w:tblCellMar>
        <w:top w:w="0" w:type="dxa"/>
        <w:left w:w="108" w:type="dxa"/>
        <w:bottom w:w="0" w:type="dxa"/>
        <w:right w:w="108" w:type="dxa"/>
      </w:tblCellMar>
    </w:tblPr>
  </w:style>
  <w:style w:type="paragraph" w:styleId="2">
    <w:name w:val="Balloon Text"/>
    <w:basedOn w:val="1"/>
    <w:link w:val="6"/>
    <w:uiPriority w:val="0"/>
    <w:rPr>
      <w:sz w:val="18"/>
      <w:szCs w:val="18"/>
    </w:rPr>
  </w:style>
  <w:style w:type="paragraph" w:styleId="3">
    <w:name w:val="Normal (Web)"/>
    <w:basedOn w:val="1"/>
    <w:uiPriority w:val="0"/>
    <w:pPr>
      <w:spacing w:before="0" w:beforeAutospacing="1" w:after="0" w:afterAutospacing="1"/>
      <w:ind w:left="0" w:right="0"/>
      <w:jc w:val="left"/>
    </w:pPr>
    <w:rPr>
      <w:rFonts w:hint="default" w:ascii="Futura Bk" w:hAnsi="Futura Bk" w:eastAsia="宋体" w:cs="Times New Roman"/>
      <w:kern w:val="0"/>
      <w:sz w:val="24"/>
      <w:szCs w:val="24"/>
      <w:lang w:val="en-US" w:eastAsia="zh-CN" w:bidi="ar"/>
    </w:rPr>
  </w:style>
  <w:style w:type="character" w:customStyle="1" w:styleId="6">
    <w:name w:val="批注框文本 字符"/>
    <w:basedOn w:val="5"/>
    <w:link w:val="2"/>
    <w:uiPriority w:val="0"/>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Pages>
  <Words>384</Words>
  <Characters>2189</Characters>
  <Lines>1</Lines>
  <Paragraphs>1</Paragraphs>
  <TotalTime>0</TotalTime>
  <ScaleCrop>false</ScaleCrop>
  <LinksUpToDate>false</LinksUpToDate>
  <CharactersWithSpaces>2568</CharactersWithSpaces>
  <Application>WWO_openplatform_20210902171309-902389ccc8</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2025-06-25T05:24:00Z</dcterms:created>
  <dc:creator>lijun-204</dc:creator>
  <cp:lastModifiedBy>wangzhongting</cp:lastModifiedBy>
  <dcterms:modified xsi:type="dcterms:W3CDTF">2025-08-05T09:12:16Z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2052-0.0.0.0</vt:lpwstr>
  </property>
  <property fmtid="{D5CDD505-2E9C-101B-9397-08002B2CF9AE}" pid="3" name="ICV">
    <vt:lpwstr>8AA7C439DFE54599B3E6E8EAD689317B</vt:lpwstr>
  </property>
</Properties>
</file>