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0" w:firstLineChars="0"/>
        <w:jc w:val="center"/>
        <w:rPr>
          <w:rFonts w:hint="eastAsia" w:ascii="黑体" w:hAnsi="黑体" w:eastAsia="黑体" w:cs="黑体"/>
          <w:b/>
          <w:bCs/>
          <w:color w:val="auto"/>
          <w:kern w:val="0"/>
          <w:sz w:val="36"/>
          <w:szCs w:val="36"/>
          <w:lang w:bidi="ar"/>
        </w:rPr>
      </w:pPr>
      <w:bookmarkStart w:id="0" w:name="_GoBack"/>
      <w:bookmarkEnd w:id="0"/>
      <w:r>
        <w:rPr>
          <w:rFonts w:hint="eastAsia" w:ascii="黑体" w:hAnsi="黑体" w:eastAsia="黑体" w:cs="黑体"/>
          <w:b/>
          <w:bCs/>
          <w:color w:val="auto"/>
          <w:kern w:val="0"/>
          <w:sz w:val="36"/>
          <w:szCs w:val="36"/>
          <w:lang w:bidi="ar"/>
        </w:rPr>
        <w:t>《国民福寿双全C0</w:t>
      </w:r>
      <w:r>
        <w:rPr>
          <w:rFonts w:hint="eastAsia" w:ascii="黑体" w:hAnsi="黑体" w:eastAsia="黑体" w:cs="黑体"/>
          <w:b/>
          <w:bCs/>
          <w:color w:val="auto"/>
          <w:kern w:val="0"/>
          <w:sz w:val="36"/>
          <w:szCs w:val="36"/>
          <w:lang w:val="en-US" w:eastAsia="zh-CN" w:bidi="ar"/>
        </w:rPr>
        <w:t>5</w:t>
      </w:r>
      <w:r>
        <w:rPr>
          <w:rFonts w:hint="eastAsia" w:ascii="黑体" w:hAnsi="黑体" w:eastAsia="黑体" w:cs="黑体"/>
          <w:b/>
          <w:bCs/>
          <w:color w:val="auto"/>
          <w:kern w:val="0"/>
          <w:sz w:val="36"/>
          <w:szCs w:val="36"/>
          <w:lang w:bidi="ar"/>
        </w:rPr>
        <w:t>款两全保险（分红型）》运营规则</w:t>
      </w:r>
    </w:p>
    <w:p>
      <w:pPr>
        <w:keepNext w:val="0"/>
        <w:keepLines w:val="0"/>
        <w:widowControl/>
        <w:suppressLineNumbers w:val="0"/>
        <w:ind w:firstLine="723" w:firstLineChars="200"/>
        <w:jc w:val="center"/>
        <w:rPr>
          <w:rFonts w:hint="eastAsia" w:ascii="宋体" w:hAnsi="宋体" w:eastAsia="宋体" w:cs="宋体"/>
          <w:b/>
          <w:bCs/>
          <w:color w:val="auto"/>
          <w:kern w:val="0"/>
          <w:sz w:val="36"/>
          <w:szCs w:val="36"/>
          <w:lang w:val="en-US" w:eastAsia="zh-CN" w:bidi="ar"/>
        </w:rPr>
      </w:pPr>
      <w:r>
        <w:rPr>
          <w:rFonts w:hint="eastAsia" w:ascii="黑体" w:hAnsi="黑体" w:eastAsia="黑体" w:cs="黑体"/>
          <w:b/>
          <w:bCs/>
          <w:color w:val="auto"/>
          <w:kern w:val="0"/>
          <w:sz w:val="36"/>
          <w:szCs w:val="36"/>
          <w:lang w:bidi="ar"/>
        </w:rPr>
        <w:t>一、投保规则</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第一条 </w:t>
      </w:r>
      <w:r>
        <w:rPr>
          <w:rFonts w:hint="eastAsia" w:ascii="宋体" w:hAnsi="宋体" w:eastAsia="宋体" w:cs="宋体"/>
          <w:b w:val="0"/>
          <w:bCs w:val="0"/>
          <w:color w:val="auto"/>
          <w:kern w:val="0"/>
          <w:sz w:val="28"/>
          <w:szCs w:val="28"/>
          <w:lang w:val="en-US" w:eastAsia="zh-CN" w:bidi="ar"/>
        </w:rPr>
        <w:t>交费方式：</w:t>
      </w:r>
      <w:r>
        <w:rPr>
          <w:rFonts w:hint="eastAsia" w:ascii="宋体" w:hAnsi="宋体" w:eastAsia="宋体" w:cs="宋体"/>
          <w:color w:val="auto"/>
          <w:kern w:val="0"/>
          <w:sz w:val="28"/>
          <w:szCs w:val="28"/>
          <w:lang w:val="en-US" w:eastAsia="zh-CN" w:bidi="ar"/>
        </w:rPr>
        <w:t>趸交、</w:t>
      </w:r>
      <w:r>
        <w:rPr>
          <w:rFonts w:hint="eastAsia" w:ascii="宋体" w:hAnsi="宋体" w:eastAsia="宋体" w:cs="宋体"/>
          <w:kern w:val="0"/>
          <w:sz w:val="28"/>
          <w:szCs w:val="28"/>
          <w:lang w:val="en-US" w:eastAsia="zh-CN" w:bidi="ar"/>
        </w:rPr>
        <w:t>年交</w:t>
      </w:r>
      <w:r>
        <w:rPr>
          <w:rFonts w:hint="eastAsia" w:ascii="宋体" w:hAnsi="宋体" w:eastAsia="宋体" w:cs="宋体"/>
          <w:color w:val="auto"/>
          <w:kern w:val="0"/>
          <w:sz w:val="28"/>
          <w:szCs w:val="28"/>
          <w:lang w:val="en-US" w:eastAsia="zh-CN" w:bidi="ar"/>
        </w:rPr>
        <w:t>。</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第二条 </w:t>
      </w:r>
      <w:r>
        <w:rPr>
          <w:rFonts w:hint="eastAsia" w:ascii="宋体" w:hAnsi="宋体" w:eastAsia="宋体" w:cs="宋体"/>
          <w:b w:val="0"/>
          <w:bCs w:val="0"/>
          <w:color w:val="auto"/>
          <w:kern w:val="0"/>
          <w:sz w:val="28"/>
          <w:szCs w:val="28"/>
          <w:lang w:val="en-US" w:eastAsia="zh-CN" w:bidi="ar"/>
        </w:rPr>
        <w:t>保险期间：</w:t>
      </w:r>
      <w:r>
        <w:rPr>
          <w:rFonts w:hint="eastAsia" w:ascii="宋体" w:hAnsi="宋体" w:eastAsia="宋体" w:cs="宋体"/>
          <w:color w:val="auto"/>
          <w:kern w:val="0"/>
          <w:sz w:val="28"/>
          <w:szCs w:val="28"/>
          <w:lang w:val="en-US" w:eastAsia="zh-CN" w:bidi="ar"/>
        </w:rPr>
        <w:t>6年。</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第三条 </w:t>
      </w:r>
      <w:r>
        <w:rPr>
          <w:rFonts w:hint="eastAsia" w:ascii="宋体" w:hAnsi="宋体" w:eastAsia="宋体" w:cs="宋体"/>
          <w:b w:val="0"/>
          <w:bCs w:val="0"/>
          <w:color w:val="auto"/>
          <w:kern w:val="0"/>
          <w:sz w:val="28"/>
          <w:szCs w:val="28"/>
          <w:lang w:val="en-US" w:eastAsia="zh-CN" w:bidi="ar"/>
        </w:rPr>
        <w:t>交费期间：</w:t>
      </w:r>
      <w:r>
        <w:rPr>
          <w:rFonts w:hint="eastAsia" w:ascii="宋体" w:hAnsi="宋体" w:eastAsia="宋体" w:cs="宋体"/>
          <w:color w:val="auto"/>
          <w:kern w:val="0"/>
          <w:sz w:val="28"/>
          <w:szCs w:val="28"/>
          <w:lang w:val="en-US" w:eastAsia="zh-CN" w:bidi="ar"/>
        </w:rPr>
        <w:t>趸交、</w:t>
      </w:r>
      <w:r>
        <w:rPr>
          <w:rFonts w:hint="eastAsia" w:ascii="宋体" w:hAnsi="宋体" w:eastAsia="宋体" w:cs="宋体"/>
          <w:kern w:val="0"/>
          <w:sz w:val="28"/>
          <w:szCs w:val="28"/>
          <w:lang w:val="en-US" w:eastAsia="zh-CN" w:bidi="ar"/>
        </w:rPr>
        <w:t>3年</w:t>
      </w:r>
      <w:r>
        <w:rPr>
          <w:rFonts w:hint="eastAsia" w:ascii="宋体" w:hAnsi="宋体" w:eastAsia="宋体" w:cs="宋体"/>
          <w:color w:val="auto"/>
          <w:kern w:val="0"/>
          <w:sz w:val="28"/>
          <w:szCs w:val="28"/>
          <w:lang w:val="en-US" w:eastAsia="zh-CN" w:bidi="ar"/>
        </w:rPr>
        <w:t xml:space="preserve">。 </w:t>
      </w:r>
    </w:p>
    <w:p>
      <w:pPr>
        <w:keepNext w:val="0"/>
        <w:keepLines w:val="0"/>
        <w:widowControl/>
        <w:suppressLineNumbers w:val="0"/>
        <w:spacing w:before="157" w:beforeLines="5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第四条</w:t>
      </w:r>
      <w:r>
        <w:rPr>
          <w:rFonts w:hint="eastAsia" w:ascii="宋体" w:hAnsi="宋体" w:eastAsia="宋体" w:cs="宋体"/>
          <w:b w:val="0"/>
          <w:bCs w:val="0"/>
          <w:color w:val="auto"/>
          <w:kern w:val="0"/>
          <w:sz w:val="28"/>
          <w:szCs w:val="28"/>
          <w:lang w:val="en-US" w:eastAsia="zh-CN" w:bidi="ar"/>
        </w:rPr>
        <w:t xml:space="preserve"> 投保年龄：被保险人投保年龄下限</w:t>
      </w:r>
      <w:r>
        <w:rPr>
          <w:rFonts w:hint="eastAsia" w:ascii="宋体" w:hAnsi="宋体" w:eastAsia="宋体" w:cs="宋体"/>
          <w:color w:val="auto"/>
          <w:kern w:val="0"/>
          <w:sz w:val="28"/>
          <w:szCs w:val="28"/>
          <w:lang w:val="en-US" w:eastAsia="zh-CN" w:bidi="ar"/>
        </w:rPr>
        <w:t>出生满28天（含），</w:t>
      </w:r>
      <w:r>
        <w:rPr>
          <w:rFonts w:hint="eastAsia" w:ascii="宋体" w:hAnsi="宋体" w:eastAsia="宋体" w:cs="宋体"/>
          <w:kern w:val="0"/>
          <w:sz w:val="28"/>
          <w:szCs w:val="28"/>
          <w:lang w:bidi="ar"/>
        </w:rPr>
        <w:t>投保年龄上限</w:t>
      </w:r>
      <w:r>
        <w:rPr>
          <w:rFonts w:hint="eastAsia" w:ascii="宋体" w:hAnsi="宋体" w:eastAsia="宋体" w:cs="宋体"/>
          <w:kern w:val="0"/>
          <w:sz w:val="28"/>
          <w:szCs w:val="28"/>
          <w:lang w:val="en-US" w:eastAsia="zh-CN" w:bidi="ar"/>
        </w:rPr>
        <w:t>具体如下：</w:t>
      </w:r>
    </w:p>
    <w:tbl>
      <w:tblPr>
        <w:tblStyle w:val="6"/>
        <w:tblpPr w:leftFromText="180" w:rightFromText="180" w:vertAnchor="text" w:horzAnchor="page" w:tblpX="1715" w:tblpY="3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6"/>
        <w:gridCol w:w="4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b/>
                <w:bCs/>
                <w:sz w:val="24"/>
              </w:rPr>
            </w:pPr>
          </w:p>
        </w:tc>
        <w:tc>
          <w:tcPr>
            <w:tcW w:w="4574" w:type="dxa"/>
          </w:tcPr>
          <w:p>
            <w:pPr>
              <w:pStyle w:val="8"/>
              <w:ind w:firstLine="0" w:firstLineChars="0"/>
              <w:jc w:val="center"/>
              <w:rPr>
                <w:rFonts w:hint="default" w:ascii="宋体" w:hAnsi="宋体" w:eastAsia="宋体" w:cs="宋体"/>
                <w:b/>
                <w:bCs/>
                <w:sz w:val="24"/>
                <w:lang w:val="en-US" w:eastAsia="zh-CN"/>
              </w:rPr>
            </w:pPr>
            <w:r>
              <w:rPr>
                <w:rFonts w:hint="eastAsia" w:ascii="宋体" w:hAnsi="宋体" w:eastAsia="宋体" w:cs="宋体"/>
                <w:b/>
                <w:bCs/>
                <w:sz w:val="24"/>
                <w:lang w:val="en-US" w:eastAsia="zh-CN"/>
              </w:rPr>
              <w:t>保险期间6年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default" w:ascii="宋体" w:hAnsi="宋体" w:eastAsia="宋体" w:cs="宋体"/>
                <w:sz w:val="24"/>
                <w:lang w:val="en-US" w:eastAsia="zh-CN"/>
              </w:rPr>
            </w:pPr>
            <w:r>
              <w:rPr>
                <w:rFonts w:hint="eastAsia" w:ascii="宋体" w:hAnsi="宋体" w:eastAsia="宋体" w:cs="宋体"/>
                <w:sz w:val="24"/>
                <w:lang w:val="en-US" w:eastAsia="zh-CN"/>
              </w:rPr>
              <w:t>趸交</w:t>
            </w:r>
          </w:p>
        </w:tc>
        <w:tc>
          <w:tcPr>
            <w:tcW w:w="4574" w:type="dxa"/>
          </w:tcPr>
          <w:p>
            <w:pPr>
              <w:pStyle w:val="8"/>
              <w:ind w:firstLine="0" w:firstLineChars="0"/>
              <w:jc w:val="center"/>
              <w:rPr>
                <w:rFonts w:hint="default" w:ascii="宋体" w:hAnsi="宋体" w:eastAsia="宋体" w:cs="宋体"/>
                <w:sz w:val="24"/>
                <w:lang w:val="en-US" w:eastAsia="zh-CN"/>
              </w:rPr>
            </w:pPr>
            <w:r>
              <w:rPr>
                <w:rFonts w:hint="eastAsia" w:ascii="宋体" w:hAnsi="宋体" w:eastAsia="宋体" w:cs="宋体"/>
                <w:sz w:val="24"/>
                <w:lang w:val="en-US" w:eastAsia="zh-CN"/>
              </w:rPr>
              <w:t>80周岁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default" w:ascii="宋体" w:hAnsi="宋体" w:eastAsia="宋体" w:cs="宋体"/>
                <w:sz w:val="24"/>
                <w:lang w:val="en-US" w:eastAsia="zh-CN"/>
              </w:rPr>
            </w:pPr>
            <w:r>
              <w:rPr>
                <w:rFonts w:hint="eastAsia" w:ascii="宋体" w:hAnsi="宋体" w:eastAsia="宋体" w:cs="宋体"/>
                <w:sz w:val="24"/>
                <w:lang w:val="en-US" w:eastAsia="zh-CN"/>
              </w:rPr>
              <w:t>3年交</w:t>
            </w:r>
          </w:p>
        </w:tc>
        <w:tc>
          <w:tcPr>
            <w:tcW w:w="4574" w:type="dxa"/>
          </w:tcPr>
          <w:p>
            <w:pPr>
              <w:pStyle w:val="8"/>
              <w:ind w:firstLine="0" w:firstLineChars="0"/>
              <w:jc w:val="center"/>
              <w:rPr>
                <w:rFonts w:hint="default" w:ascii="宋体" w:hAnsi="宋体" w:eastAsia="宋体" w:cs="宋体"/>
                <w:sz w:val="24"/>
                <w:lang w:val="en-US" w:eastAsia="zh-CN"/>
              </w:rPr>
            </w:pPr>
            <w:r>
              <w:rPr>
                <w:rFonts w:hint="eastAsia" w:ascii="宋体" w:hAnsi="宋体" w:eastAsia="宋体" w:cs="宋体"/>
                <w:sz w:val="24"/>
                <w:lang w:val="en-US" w:eastAsia="zh-CN"/>
              </w:rPr>
              <w:t>77周岁</w:t>
            </w:r>
          </w:p>
        </w:tc>
      </w:tr>
    </w:tbl>
    <w:p>
      <w:pPr>
        <w:keepNext w:val="0"/>
        <w:keepLines w:val="0"/>
        <w:widowControl/>
        <w:suppressLineNumbers w:val="0"/>
        <w:spacing w:before="157" w:beforeLines="50"/>
        <w:ind w:firstLine="562" w:firstLineChars="200"/>
        <w:jc w:val="left"/>
        <w:rPr>
          <w:rFonts w:hint="eastAsia" w:ascii="宋体" w:hAnsi="宋体" w:eastAsia="宋体" w:cs="宋体"/>
          <w:b w:val="0"/>
          <w:bCs w:val="0"/>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第五条 </w:t>
      </w:r>
      <w:r>
        <w:rPr>
          <w:rFonts w:hint="eastAsia" w:ascii="宋体" w:hAnsi="宋体" w:eastAsia="宋体" w:cs="宋体"/>
          <w:b w:val="0"/>
          <w:bCs w:val="0"/>
          <w:color w:val="auto"/>
          <w:kern w:val="0"/>
          <w:sz w:val="28"/>
          <w:szCs w:val="28"/>
          <w:lang w:val="en-US" w:eastAsia="zh-CN" w:bidi="ar"/>
        </w:rPr>
        <w:t>保费要求：</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val="0"/>
          <w:bCs w:val="0"/>
          <w:color w:val="auto"/>
          <w:kern w:val="0"/>
          <w:sz w:val="28"/>
          <w:szCs w:val="28"/>
          <w:lang w:val="en-US" w:eastAsia="zh-CN" w:bidi="ar"/>
        </w:rPr>
        <w:t>1.</w:t>
      </w:r>
      <w:r>
        <w:rPr>
          <w:rFonts w:hint="eastAsia" w:ascii="宋体" w:hAnsi="宋体" w:eastAsia="宋体" w:cs="宋体"/>
          <w:color w:val="auto"/>
          <w:kern w:val="0"/>
          <w:sz w:val="28"/>
          <w:szCs w:val="28"/>
          <w:lang w:val="en-US" w:eastAsia="zh-CN" w:bidi="ar"/>
        </w:rPr>
        <w:t>投保本险种每份投保单的最低保险费为1万元，超过1万元的保险费必须为1000元的整数倍</w:t>
      </w:r>
      <w:r>
        <w:rPr>
          <w:rFonts w:hint="eastAsia" w:ascii="宋体" w:hAnsi="宋体" w:eastAsia="宋体" w:cs="宋体"/>
          <w:color w:val="auto"/>
          <w:kern w:val="0"/>
          <w:sz w:val="28"/>
          <w:szCs w:val="28"/>
          <w:lang w:bidi="ar"/>
        </w:rPr>
        <w:t>。</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2.未成年人投保</w:t>
      </w:r>
      <w:r>
        <w:rPr>
          <w:rFonts w:hint="eastAsia" w:ascii="宋体" w:hAnsi="宋体" w:eastAsia="宋体" w:cs="宋体"/>
          <w:color w:val="auto"/>
          <w:kern w:val="0"/>
          <w:sz w:val="28"/>
          <w:szCs w:val="28"/>
          <w:u w:val="single"/>
          <w:lang w:val="en-US" w:eastAsia="zh-CN" w:bidi="ar"/>
        </w:rPr>
        <w:t>同类型产品</w:t>
      </w:r>
      <w:r>
        <w:rPr>
          <w:rFonts w:hint="eastAsia" w:ascii="宋体" w:hAnsi="宋体" w:eastAsia="宋体" w:cs="宋体"/>
          <w:b/>
          <w:bCs/>
          <w:color w:val="auto"/>
          <w:kern w:val="0"/>
          <w:sz w:val="28"/>
          <w:szCs w:val="28"/>
          <w:vertAlign w:val="superscript"/>
          <w:lang w:val="en-US" w:eastAsia="zh-CN" w:bidi="ar"/>
        </w:rPr>
        <w:t>注1</w:t>
      </w:r>
      <w:r>
        <w:rPr>
          <w:rFonts w:hint="eastAsia" w:ascii="宋体" w:hAnsi="宋体" w:eastAsia="宋体" w:cs="宋体"/>
          <w:color w:val="auto"/>
          <w:kern w:val="0"/>
          <w:sz w:val="28"/>
          <w:szCs w:val="28"/>
          <w:lang w:val="en-US" w:eastAsia="zh-CN" w:bidi="ar"/>
        </w:rPr>
        <w:t>共同累计</w:t>
      </w:r>
      <w:r>
        <w:rPr>
          <w:rFonts w:hint="eastAsia" w:ascii="宋体" w:hAnsi="宋体" w:eastAsia="宋体" w:cs="宋体"/>
          <w:color w:val="auto"/>
          <w:kern w:val="0"/>
          <w:sz w:val="28"/>
          <w:szCs w:val="28"/>
          <w:u w:val="single"/>
          <w:lang w:val="en-US" w:eastAsia="zh-CN" w:bidi="ar"/>
        </w:rPr>
        <w:t>应交总保费</w:t>
      </w:r>
      <w:r>
        <w:rPr>
          <w:rFonts w:hint="eastAsia" w:ascii="宋体" w:hAnsi="宋体" w:eastAsia="宋体" w:cs="宋体"/>
          <w:b/>
          <w:bCs/>
          <w:color w:val="auto"/>
          <w:kern w:val="0"/>
          <w:sz w:val="28"/>
          <w:szCs w:val="28"/>
          <w:vertAlign w:val="superscript"/>
          <w:lang w:val="en-US" w:eastAsia="zh-CN" w:bidi="ar"/>
        </w:rPr>
        <w:t>注2</w:t>
      </w:r>
      <w:r>
        <w:rPr>
          <w:rFonts w:hint="eastAsia" w:ascii="宋体" w:hAnsi="宋体" w:eastAsia="宋体" w:cs="宋体"/>
          <w:color w:val="auto"/>
          <w:kern w:val="0"/>
          <w:sz w:val="28"/>
          <w:szCs w:val="28"/>
          <w:lang w:val="en-US" w:eastAsia="zh-CN" w:bidi="ar"/>
        </w:rPr>
        <w:t xml:space="preserve">不得超过1500万元。 </w:t>
      </w:r>
    </w:p>
    <w:p>
      <w:pPr>
        <w:keepNext w:val="0"/>
        <w:keepLines w:val="0"/>
        <w:widowControl/>
        <w:suppressLineNumbers w:val="0"/>
        <w:ind w:firstLine="562"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 xml:space="preserve">第六条 </w:t>
      </w:r>
      <w:r>
        <w:rPr>
          <w:rFonts w:hint="eastAsia" w:ascii="宋体" w:hAnsi="宋体" w:eastAsia="宋体" w:cs="宋体"/>
          <w:b w:val="0"/>
          <w:bCs w:val="0"/>
          <w:color w:val="auto"/>
          <w:kern w:val="0"/>
          <w:sz w:val="28"/>
          <w:szCs w:val="28"/>
          <w:lang w:val="en-US" w:eastAsia="zh-CN" w:bidi="ar"/>
        </w:rPr>
        <w:t>风险保额的计算：</w:t>
      </w:r>
      <w:r>
        <w:rPr>
          <w:rFonts w:hint="eastAsia" w:ascii="宋体" w:hAnsi="宋体" w:eastAsia="宋体" w:cs="宋体"/>
          <w:color w:val="auto"/>
          <w:kern w:val="0"/>
          <w:sz w:val="28"/>
          <w:szCs w:val="28"/>
          <w:lang w:val="en-US" w:eastAsia="zh-CN" w:bidi="ar"/>
        </w:rPr>
        <w:t xml:space="preserve">本险种需要与我司同类型产品累计寿险风险保额，寿险风险保额计算方式： </w:t>
      </w:r>
    </w:p>
    <w:tbl>
      <w:tblPr>
        <w:tblStyle w:val="6"/>
        <w:tblpPr w:leftFromText="180" w:rightFromText="180" w:vertAnchor="text" w:horzAnchor="page" w:tblpX="1715" w:tblpY="3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6"/>
        <w:gridCol w:w="4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被保险人年龄</w:t>
            </w:r>
          </w:p>
        </w:tc>
        <w:tc>
          <w:tcPr>
            <w:tcW w:w="4574" w:type="dxa"/>
          </w:tcPr>
          <w:p>
            <w:pPr>
              <w:pStyle w:val="8"/>
              <w:ind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寿险风险保额计算公式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≤17周岁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18-40周岁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41-60周岁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6"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≥61周岁</w:t>
            </w:r>
          </w:p>
        </w:tc>
        <w:tc>
          <w:tcPr>
            <w:tcW w:w="4574" w:type="dxa"/>
          </w:tcPr>
          <w:p>
            <w:pPr>
              <w:pStyle w:val="8"/>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寿险风险保额=应交总保费*0.2</w:t>
            </w:r>
          </w:p>
        </w:tc>
      </w:tr>
    </w:tbl>
    <w:p>
      <w:pPr>
        <w:keepNext w:val="0"/>
        <w:keepLines w:val="0"/>
        <w:widowControl/>
        <w:suppressLineNumbers w:val="0"/>
        <w:spacing w:before="157" w:beforeLines="50"/>
        <w:ind w:firstLine="562" w:firstLineChars="200"/>
        <w:jc w:val="left"/>
        <w:rPr>
          <w:rFonts w:hint="eastAsia" w:ascii="宋体" w:hAnsi="宋体" w:eastAsia="宋体" w:cs="宋体"/>
          <w:b w:val="0"/>
          <w:bCs w:val="0"/>
          <w:color w:val="auto"/>
        </w:rPr>
      </w:pPr>
      <w:r>
        <w:rPr>
          <w:rFonts w:hint="eastAsia" w:ascii="宋体" w:hAnsi="宋体" w:eastAsia="宋体" w:cs="宋体"/>
          <w:b/>
          <w:bCs/>
          <w:color w:val="auto"/>
          <w:kern w:val="0"/>
          <w:sz w:val="28"/>
          <w:szCs w:val="28"/>
          <w:lang w:val="en-US" w:eastAsia="zh-CN" w:bidi="ar"/>
        </w:rPr>
        <w:t xml:space="preserve">第七条 </w:t>
      </w:r>
      <w:r>
        <w:rPr>
          <w:rFonts w:hint="eastAsia" w:ascii="宋体" w:hAnsi="宋体" w:eastAsia="宋体" w:cs="宋体"/>
          <w:b w:val="0"/>
          <w:bCs w:val="0"/>
          <w:color w:val="auto"/>
          <w:kern w:val="0"/>
          <w:sz w:val="28"/>
          <w:szCs w:val="28"/>
          <w:lang w:val="en-US" w:eastAsia="zh-CN" w:bidi="ar"/>
        </w:rPr>
        <w:t xml:space="preserve">财务核保及体检标准： </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1.财务核保：投保同类型产品共同累计应交总保费&gt;</w:t>
      </w:r>
      <w:r>
        <w:rPr>
          <w:rFonts w:hint="eastAsia" w:ascii="宋体" w:hAnsi="宋体" w:eastAsia="宋体" w:cs="宋体"/>
          <w:b w:val="0"/>
          <w:bCs w:val="0"/>
          <w:color w:val="auto"/>
          <w:kern w:val="0"/>
          <w:sz w:val="28"/>
          <w:szCs w:val="28"/>
          <w:lang w:val="en-US" w:eastAsia="zh-CN" w:bidi="ar"/>
        </w:rPr>
        <w:t>1500</w:t>
      </w:r>
      <w:r>
        <w:rPr>
          <w:rFonts w:hint="eastAsia" w:ascii="宋体" w:hAnsi="宋体" w:eastAsia="宋体" w:cs="宋体"/>
          <w:color w:val="auto"/>
          <w:kern w:val="0"/>
          <w:sz w:val="28"/>
          <w:szCs w:val="28"/>
          <w:lang w:val="en-US" w:eastAsia="zh-CN" w:bidi="ar"/>
        </w:rPr>
        <w:t>万元，需填写财务问卷，进行生存调查，提供个人财务资料。</w:t>
      </w:r>
    </w:p>
    <w:p>
      <w:pPr>
        <w:keepNext w:val="0"/>
        <w:keepLines w:val="0"/>
        <w:widowControl/>
        <w:suppressLineNumbers w:val="0"/>
        <w:ind w:firstLine="560" w:firstLineChars="200"/>
        <w:jc w:val="left"/>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2.投保同类型产品共同累计应交总保费超出下表需要体检，18-60周岁客户体检项目为A+D，61周岁及以上客户体检项目为A+D+心脏彩超+妇科B超（女）+CEA（癌胚抗原）。</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3"/>
        <w:gridCol w:w="1267"/>
        <w:gridCol w:w="1267"/>
        <w:gridCol w:w="1267"/>
        <w:gridCol w:w="1267"/>
        <w:gridCol w:w="1270"/>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901"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被保险人年龄（周岁）</w:t>
            </w:r>
          </w:p>
        </w:tc>
        <w:tc>
          <w:tcPr>
            <w:tcW w:w="682"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0-17</w:t>
            </w:r>
          </w:p>
        </w:tc>
        <w:tc>
          <w:tcPr>
            <w:tcW w:w="682"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18-40</w:t>
            </w:r>
          </w:p>
        </w:tc>
        <w:tc>
          <w:tcPr>
            <w:tcW w:w="682"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41-50</w:t>
            </w:r>
          </w:p>
        </w:tc>
        <w:tc>
          <w:tcPr>
            <w:tcW w:w="682" w:type="pct"/>
            <w:vAlign w:val="center"/>
          </w:tcPr>
          <w:p>
            <w:pPr>
              <w:keepNext w:val="0"/>
              <w:keepLines w:val="0"/>
              <w:widowControl/>
              <w:suppressLineNumbers w:val="0"/>
              <w:jc w:val="center"/>
              <w:rPr>
                <w:rFonts w:hint="eastAsia"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51-70</w:t>
            </w:r>
          </w:p>
        </w:tc>
        <w:tc>
          <w:tcPr>
            <w:tcW w:w="684" w:type="pct"/>
            <w:vAlign w:val="center"/>
          </w:tcPr>
          <w:p>
            <w:pPr>
              <w:keepNext w:val="0"/>
              <w:keepLines w:val="0"/>
              <w:widowControl/>
              <w:suppressLineNumbers w:val="0"/>
              <w:jc w:val="center"/>
              <w:rPr>
                <w:rFonts w:hint="default"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71-75</w:t>
            </w:r>
          </w:p>
        </w:tc>
        <w:tc>
          <w:tcPr>
            <w:tcW w:w="684" w:type="pct"/>
            <w:vAlign w:val="center"/>
          </w:tcPr>
          <w:p>
            <w:pPr>
              <w:keepNext w:val="0"/>
              <w:keepLines w:val="0"/>
              <w:widowControl/>
              <w:suppressLineNumbers w:val="0"/>
              <w:jc w:val="center"/>
              <w:rPr>
                <w:rFonts w:hint="default" w:ascii="宋体" w:hAnsi="宋体" w:eastAsia="宋体" w:cs="宋体"/>
                <w:b/>
                <w:bCs/>
                <w:color w:val="auto"/>
                <w:kern w:val="0"/>
                <w:sz w:val="21"/>
                <w:szCs w:val="21"/>
                <w:vertAlign w:val="baseline"/>
                <w:lang w:val="en-US" w:eastAsia="zh-CN" w:bidi="ar"/>
              </w:rPr>
            </w:pPr>
            <w:r>
              <w:rPr>
                <w:rFonts w:hint="eastAsia" w:ascii="宋体" w:hAnsi="宋体" w:eastAsia="宋体" w:cs="宋体"/>
                <w:b/>
                <w:bCs/>
                <w:color w:val="auto"/>
                <w:kern w:val="0"/>
                <w:sz w:val="21"/>
                <w:szCs w:val="21"/>
                <w:vertAlign w:val="baseline"/>
                <w:lang w:val="en-US" w:eastAsia="zh-CN" w:bidi="ar"/>
              </w:rPr>
              <w:t>76及以上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901" w:type="pct"/>
            <w:vAlign w:val="center"/>
          </w:tcPr>
          <w:p>
            <w:pPr>
              <w:keepNext w:val="0"/>
              <w:keepLines w:val="0"/>
              <w:widowControl/>
              <w:suppressLineNumbers w:val="0"/>
              <w:jc w:val="center"/>
              <w:rPr>
                <w:rFonts w:hint="default"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累计应交总保费（万元）</w:t>
            </w:r>
          </w:p>
        </w:tc>
        <w:tc>
          <w:tcPr>
            <w:tcW w:w="682"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w:t>
            </w:r>
          </w:p>
        </w:tc>
        <w:tc>
          <w:tcPr>
            <w:tcW w:w="682"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1500</w:t>
            </w:r>
          </w:p>
        </w:tc>
        <w:tc>
          <w:tcPr>
            <w:tcW w:w="682"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1000</w:t>
            </w:r>
          </w:p>
        </w:tc>
        <w:tc>
          <w:tcPr>
            <w:tcW w:w="682"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500</w:t>
            </w:r>
          </w:p>
        </w:tc>
        <w:tc>
          <w:tcPr>
            <w:tcW w:w="684" w:type="pct"/>
            <w:vAlign w:val="center"/>
          </w:tcPr>
          <w:p>
            <w:pPr>
              <w:keepNext w:val="0"/>
              <w:keepLines w:val="0"/>
              <w:widowControl/>
              <w:suppressLineNumbers w:val="0"/>
              <w:jc w:val="center"/>
              <w:rPr>
                <w:rFonts w:hint="eastAsia"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200</w:t>
            </w:r>
          </w:p>
        </w:tc>
        <w:tc>
          <w:tcPr>
            <w:tcW w:w="684" w:type="pct"/>
            <w:vAlign w:val="center"/>
          </w:tcPr>
          <w:p>
            <w:pPr>
              <w:keepNext w:val="0"/>
              <w:keepLines w:val="0"/>
              <w:widowControl/>
              <w:suppressLineNumbers w:val="0"/>
              <w:jc w:val="center"/>
              <w:rPr>
                <w:rFonts w:hint="default" w:ascii="宋体" w:hAnsi="宋体" w:eastAsia="宋体" w:cs="宋体"/>
                <w:color w:val="auto"/>
                <w:kern w:val="0"/>
                <w:sz w:val="21"/>
                <w:szCs w:val="21"/>
                <w:vertAlign w:val="baseline"/>
                <w:lang w:val="en-US" w:eastAsia="zh-CN" w:bidi="ar"/>
              </w:rPr>
            </w:pPr>
            <w:r>
              <w:rPr>
                <w:rFonts w:hint="eastAsia" w:ascii="宋体" w:hAnsi="宋体" w:eastAsia="宋体" w:cs="宋体"/>
                <w:color w:val="auto"/>
                <w:kern w:val="0"/>
                <w:sz w:val="21"/>
                <w:szCs w:val="21"/>
                <w:vertAlign w:val="baseline"/>
                <w:lang w:val="en-US" w:eastAsia="zh-CN" w:bidi="ar"/>
              </w:rPr>
              <w:t>100</w:t>
            </w:r>
          </w:p>
        </w:tc>
      </w:tr>
    </w:tbl>
    <w:p>
      <w:pPr>
        <w:keepNext w:val="0"/>
        <w:keepLines w:val="0"/>
        <w:widowControl/>
        <w:suppressLineNumbers w:val="0"/>
        <w:jc w:val="left"/>
        <w:rPr>
          <w:rFonts w:hint="eastAsia" w:ascii="宋体" w:hAnsi="宋体" w:eastAsia="宋体" w:cs="宋体"/>
          <w:color w:val="auto"/>
          <w:kern w:val="0"/>
          <w:sz w:val="18"/>
          <w:szCs w:val="18"/>
          <w:lang w:val="en-US" w:eastAsia="zh-CN" w:bidi="ar"/>
        </w:rPr>
      </w:pP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临分限额为同类型产品共同累计应交总保费大于1500万元。达临分标准者，以再保要求为准。</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本险种无健康加费</w:t>
      </w:r>
      <w:r>
        <w:rPr>
          <w:rFonts w:hint="eastAsia" w:ascii="宋体" w:hAnsi="宋体" w:eastAsia="宋体" w:cs="宋体"/>
          <w:color w:val="auto"/>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本险种</w:t>
      </w:r>
      <w:r>
        <w:rPr>
          <w:rFonts w:hint="eastAsia" w:ascii="宋体" w:hAnsi="宋体" w:eastAsia="宋体" w:cs="宋体"/>
          <w:color w:val="auto"/>
          <w:sz w:val="28"/>
          <w:szCs w:val="28"/>
          <w:lang w:val="en-US" w:eastAsia="zh-CN"/>
        </w:rPr>
        <w:t>无</w:t>
      </w:r>
      <w:r>
        <w:rPr>
          <w:rFonts w:hint="eastAsia" w:ascii="宋体" w:hAnsi="宋体" w:eastAsia="宋体" w:cs="宋体"/>
          <w:color w:val="auto"/>
          <w:sz w:val="28"/>
          <w:szCs w:val="28"/>
        </w:rPr>
        <w:t>职业加费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无职业投保限额要求</w:t>
      </w:r>
      <w:r>
        <w:rPr>
          <w:rFonts w:hint="eastAsia" w:ascii="宋体" w:hAnsi="宋体" w:eastAsia="宋体" w:cs="宋体"/>
          <w:color w:val="auto"/>
          <w:sz w:val="28"/>
          <w:szCs w:val="2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健康告知版本：</w:t>
      </w:r>
      <w:r>
        <w:rPr>
          <w:rFonts w:hint="eastAsia" w:ascii="宋体" w:hAnsi="宋体" w:eastAsia="宋体" w:cs="宋体"/>
          <w:color w:val="auto"/>
          <w:sz w:val="28"/>
          <w:szCs w:val="28"/>
          <w:lang w:val="en-US" w:eastAsia="zh-CN"/>
        </w:rPr>
        <w:t>使用《国民养老保险股份有限公司告知事项（B版）》。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本规则未尽事宜遵照《国民养老保险股份有限公司个人保险核保管理办法》执行。</w:t>
      </w:r>
    </w:p>
    <w:p>
      <w:pPr>
        <w:pStyle w:val="2"/>
        <w:rPr>
          <w:rFonts w:hint="eastAsia"/>
          <w:lang w:val="en-US" w:eastAsia="zh-CN"/>
        </w:rPr>
      </w:pPr>
    </w:p>
    <w:p>
      <w:pPr>
        <w:numPr>
          <w:ilvl w:val="0"/>
          <w:numId w:val="0"/>
        </w:numPr>
        <w:jc w:val="left"/>
        <w:rPr>
          <w:rFonts w:hint="eastAsia" w:ascii="宋体" w:hAnsi="宋体" w:eastAsia="宋体" w:cs="宋体"/>
          <w:color w:val="auto"/>
          <w:sz w:val="21"/>
          <w:szCs w:val="21"/>
          <w:lang w:val="en-US" w:eastAsia="zh-CN"/>
        </w:rPr>
      </w:pPr>
    </w:p>
    <w:p>
      <w:pPr>
        <w:numPr>
          <w:ilvl w:val="0"/>
          <w:numId w:val="0"/>
        </w:numPr>
        <w:jc w:val="left"/>
        <w:rPr>
          <w:rFonts w:hint="eastAsia" w:ascii="宋体" w:hAnsi="宋体" w:eastAsia="宋体" w:cs="宋体"/>
          <w:color w:val="auto"/>
          <w:sz w:val="21"/>
          <w:szCs w:val="21"/>
          <w:lang w:val="en-US" w:eastAsia="zh-CN"/>
        </w:rPr>
      </w:pPr>
    </w:p>
    <w:p>
      <w:pPr>
        <w:numPr>
          <w:ilvl w:val="0"/>
          <w:numId w:val="0"/>
        </w:numPr>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注1：目前同类型产品包括：</w:t>
      </w:r>
      <w:r>
        <w:rPr>
          <w:rFonts w:hint="eastAsia" w:ascii="宋体" w:hAnsi="宋体" w:eastAsia="宋体" w:cs="宋体"/>
          <w:color w:val="000000"/>
          <w:kern w:val="0"/>
          <w:sz w:val="20"/>
          <w:szCs w:val="20"/>
          <w:lang w:bidi="ar"/>
        </w:rPr>
        <w:t>国民福寿双全两全保险、国民福寿双全A01款两全保险、国民福寿双全B款两全保险、国民福寿双全B款两全保险（分红型）、国民幸福终身寿险、国民幸福C款终身寿险（互联网专属）、国民e选两全保险（互联网专属）、国民福寿双全B01款两全保险（分红型）、国民福寿双全A05款两全保险、国民e选B款两全保险（互联网专属）、国民幸福D02款终身寿险（互联网专属）、国民福寿双全B03款两全保险</w:t>
      </w:r>
      <w:r>
        <w:rPr>
          <w:rFonts w:hint="eastAsia" w:ascii="宋体" w:hAnsi="宋体" w:eastAsia="宋体" w:cs="宋体"/>
          <w:color w:val="000000"/>
          <w:kern w:val="0"/>
          <w:sz w:val="20"/>
          <w:szCs w:val="20"/>
          <w:lang w:val="en-US" w:eastAsia="zh-CN" w:bidi="ar"/>
        </w:rPr>
        <w:t>、</w:t>
      </w:r>
      <w:r>
        <w:rPr>
          <w:rFonts w:hint="eastAsia" w:ascii="宋体" w:hAnsi="宋体" w:eastAsia="宋体" w:cs="宋体"/>
          <w:color w:val="000000"/>
          <w:kern w:val="0"/>
          <w:sz w:val="20"/>
          <w:szCs w:val="20"/>
          <w:lang w:bidi="ar"/>
        </w:rPr>
        <w:t>国民福寿双全A款两全保险（分红型）</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国民福寿双全C01款两全保险（分红型）</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国民福寿双全C0</w:t>
      </w:r>
      <w:r>
        <w:rPr>
          <w:rFonts w:hint="eastAsia" w:ascii="宋体" w:hAnsi="宋体" w:eastAsia="宋体" w:cs="宋体"/>
          <w:color w:val="000000"/>
          <w:kern w:val="0"/>
          <w:sz w:val="20"/>
          <w:szCs w:val="20"/>
          <w:lang w:val="en-US" w:eastAsia="zh-CN" w:bidi="ar"/>
        </w:rPr>
        <w:t>3</w:t>
      </w:r>
      <w:r>
        <w:rPr>
          <w:rFonts w:hint="eastAsia" w:ascii="宋体" w:hAnsi="宋体" w:eastAsia="宋体" w:cs="宋体"/>
          <w:color w:val="000000"/>
          <w:kern w:val="0"/>
          <w:sz w:val="20"/>
          <w:szCs w:val="20"/>
          <w:lang w:bidi="ar"/>
        </w:rPr>
        <w:t>款两全保险（分红型）</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国民福寿双全C01款两全保险、</w:t>
      </w:r>
      <w:r>
        <w:rPr>
          <w:rFonts w:hint="eastAsia" w:ascii="宋体" w:hAnsi="宋体" w:eastAsia="宋体" w:cs="宋体"/>
          <w:b w:val="0"/>
          <w:bCs w:val="0"/>
          <w:color w:val="000000"/>
          <w:kern w:val="0"/>
          <w:sz w:val="20"/>
          <w:szCs w:val="20"/>
          <w:lang w:bidi="ar"/>
        </w:rPr>
        <w:t>国民福寿双全C0</w:t>
      </w:r>
      <w:r>
        <w:rPr>
          <w:rFonts w:hint="eastAsia" w:ascii="宋体" w:hAnsi="宋体" w:eastAsia="宋体" w:cs="宋体"/>
          <w:b w:val="0"/>
          <w:bCs w:val="0"/>
          <w:color w:val="000000"/>
          <w:kern w:val="0"/>
          <w:sz w:val="20"/>
          <w:szCs w:val="20"/>
          <w:lang w:val="en-US" w:eastAsia="zh-CN" w:bidi="ar"/>
        </w:rPr>
        <w:t>5</w:t>
      </w:r>
      <w:r>
        <w:rPr>
          <w:rFonts w:hint="eastAsia" w:ascii="宋体" w:hAnsi="宋体" w:eastAsia="宋体" w:cs="宋体"/>
          <w:b w:val="0"/>
          <w:bCs w:val="0"/>
          <w:color w:val="000000"/>
          <w:kern w:val="0"/>
          <w:sz w:val="20"/>
          <w:szCs w:val="20"/>
          <w:lang w:bidi="ar"/>
        </w:rPr>
        <w:t>款两全保险（分红型）</w:t>
      </w:r>
      <w:r>
        <w:rPr>
          <w:rFonts w:hint="eastAsia" w:ascii="宋体" w:hAnsi="宋体" w:eastAsia="宋体" w:cs="宋体"/>
          <w:color w:val="000000"/>
          <w:kern w:val="0"/>
          <w:sz w:val="20"/>
          <w:szCs w:val="20"/>
          <w:lang w:eastAsia="zh-CN" w:bidi="ar"/>
        </w:rPr>
        <w:t>。</w:t>
      </w:r>
    </w:p>
    <w:p>
      <w:pPr>
        <w:numPr>
          <w:ilvl w:val="0"/>
          <w:numId w:val="0"/>
        </w:numPr>
        <w:spacing w:line="240" w:lineRule="auto"/>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注2:应交总保费=</w:t>
      </w:r>
      <w:r>
        <w:rPr>
          <w:rFonts w:hint="eastAsia" w:ascii="宋体" w:hAnsi="宋体" w:eastAsia="宋体" w:cs="宋体"/>
          <w:color w:val="000000"/>
          <w:kern w:val="0"/>
          <w:sz w:val="20"/>
          <w:szCs w:val="20"/>
          <w:lang w:bidi="ar"/>
        </w:rPr>
        <w:t>趸交保费+期交保费*交费年期</w:t>
      </w:r>
      <w:r>
        <w:rPr>
          <w:rFonts w:hint="eastAsia" w:ascii="宋体" w:hAnsi="宋体" w:eastAsia="宋体" w:cs="宋体"/>
          <w:color w:val="000000"/>
          <w:kern w:val="0"/>
          <w:sz w:val="20"/>
          <w:szCs w:val="20"/>
          <w:lang w:eastAsia="zh-CN" w:bidi="ar"/>
        </w:rPr>
        <w:t>。</w:t>
      </w:r>
    </w:p>
    <w:p>
      <w:pPr>
        <w:keepNext w:val="0"/>
        <w:keepLines w:val="0"/>
        <w:widowControl/>
        <w:suppressLineNumbers w:val="0"/>
        <w:jc w:val="left"/>
        <w:rPr>
          <w:rFonts w:hint="eastAsia" w:ascii="微软雅黑" w:hAnsi="微软雅黑" w:eastAsia="微软雅黑" w:cs="微软雅黑"/>
          <w:b/>
          <w:bCs/>
          <w:color w:val="auto"/>
          <w:kern w:val="0"/>
          <w:sz w:val="18"/>
          <w:szCs w:val="18"/>
          <w:lang w:val="en-US" w:eastAsia="zh-CN" w:bidi="ar"/>
        </w:rPr>
      </w:pPr>
    </w:p>
    <w:p>
      <w:pPr>
        <w:keepNext w:val="0"/>
        <w:keepLines w:val="0"/>
        <w:widowControl/>
        <w:suppressLineNumbers w:val="0"/>
        <w:jc w:val="left"/>
        <w:rPr>
          <w:rFonts w:hint="eastAsia" w:ascii="微软雅黑" w:hAnsi="微软雅黑" w:eastAsia="微软雅黑" w:cs="微软雅黑"/>
          <w:b/>
          <w:bCs/>
          <w:color w:val="auto"/>
          <w:kern w:val="0"/>
          <w:sz w:val="18"/>
          <w:szCs w:val="18"/>
          <w:lang w:val="en-US" w:eastAsia="zh-CN" w:bidi="ar"/>
        </w:rPr>
      </w:pPr>
      <w:r>
        <w:rPr>
          <w:rFonts w:hint="eastAsia" w:ascii="微软雅黑" w:hAnsi="微软雅黑" w:eastAsia="微软雅黑" w:cs="微软雅黑"/>
          <w:b/>
          <w:bCs/>
          <w:color w:val="auto"/>
          <w:kern w:val="0"/>
          <w:sz w:val="18"/>
          <w:szCs w:val="18"/>
          <w:lang w:val="en-US" w:eastAsia="zh-CN" w:bidi="ar"/>
        </w:rPr>
        <w:t>附件：</w:t>
      </w:r>
    </w:p>
    <w:p>
      <w:pPr>
        <w:keepNext w:val="0"/>
        <w:keepLines w:val="0"/>
        <w:pageBreakBefore w:val="0"/>
        <w:widowControl w:val="0"/>
        <w:kinsoku/>
        <w:wordWrap/>
        <w:overflowPunct/>
        <w:topLinePunct w:val="0"/>
        <w:autoSpaceDE/>
        <w:autoSpaceDN/>
        <w:bidi w:val="0"/>
        <w:adjustRightInd/>
        <w:snapToGrid/>
        <w:spacing w:line="160" w:lineRule="atLeast"/>
        <w:jc w:val="center"/>
        <w:textAlignment w:val="auto"/>
        <w:rPr>
          <w:rFonts w:hint="eastAsia" w:ascii="微软雅黑" w:hAnsi="微软雅黑" w:eastAsia="微软雅黑" w:cs="Calibri"/>
          <w:b/>
          <w:bCs/>
          <w:color w:val="auto"/>
          <w:kern w:val="0"/>
          <w:sz w:val="28"/>
          <w:szCs w:val="28"/>
          <w:lang w:val="en-US" w:eastAsia="zh-CN"/>
        </w:rPr>
      </w:pPr>
      <w:r>
        <w:rPr>
          <w:rFonts w:hint="eastAsia" w:ascii="微软雅黑" w:hAnsi="微软雅黑" w:eastAsia="微软雅黑" w:cs="Calibri"/>
          <w:b/>
          <w:bCs/>
          <w:color w:val="auto"/>
          <w:kern w:val="0"/>
          <w:sz w:val="28"/>
          <w:szCs w:val="28"/>
          <w:lang w:val="en-US" w:eastAsia="zh-CN"/>
        </w:rPr>
        <w:t>国民养老保险股份有限公司告知事项（B版）</w:t>
      </w:r>
    </w:p>
    <w:p>
      <w:pPr>
        <w:keepNext w:val="0"/>
        <w:keepLines w:val="0"/>
        <w:pageBreakBefore w:val="0"/>
        <w:widowControl w:val="0"/>
        <w:kinsoku/>
        <w:wordWrap/>
        <w:overflowPunct/>
        <w:topLinePunct w:val="0"/>
        <w:autoSpaceDE/>
        <w:autoSpaceDN/>
        <w:bidi w:val="0"/>
        <w:adjustRightInd/>
        <w:snapToGrid/>
        <w:spacing w:line="160" w:lineRule="atLeast"/>
        <w:jc w:val="both"/>
        <w:textAlignment w:val="auto"/>
        <w:rPr>
          <w:rFonts w:hint="eastAsia" w:ascii="微软雅黑" w:hAnsi="微软雅黑" w:eastAsia="微软雅黑" w:cs="Calibri"/>
          <w:b/>
          <w:bCs/>
          <w:color w:val="auto"/>
          <w:kern w:val="0"/>
          <w:sz w:val="18"/>
          <w:szCs w:val="18"/>
          <w:lang w:val="en-US" w:eastAsia="zh-CN"/>
        </w:rPr>
      </w:pPr>
    </w:p>
    <w:p>
      <w:pPr>
        <w:spacing w:line="160" w:lineRule="atLeast"/>
        <w:rPr>
          <w:rFonts w:hint="eastAsia"/>
          <w:lang w:val="en-US" w:eastAsia="zh-CN"/>
        </w:rPr>
      </w:pPr>
      <w:r>
        <w:rPr>
          <w:rFonts w:hint="eastAsia" w:ascii="微软雅黑" w:hAnsi="微软雅黑" w:eastAsia="微软雅黑" w:cs="Calibri"/>
          <w:b/>
          <w:bCs/>
          <w:color w:val="auto"/>
          <w:kern w:val="0"/>
          <w:sz w:val="18"/>
          <w:szCs w:val="18"/>
          <w:lang w:val="en-US" w:eastAsia="zh-CN"/>
        </w:rPr>
        <w:t>投保单号：_________________________________  投保人：______________________    被保险人：____________________</w:t>
      </w:r>
    </w:p>
    <w:p>
      <w:pPr>
        <w:keepNext w:val="0"/>
        <w:keepLines w:val="0"/>
        <w:pageBreakBefore w:val="0"/>
        <w:widowControl w:val="0"/>
        <w:kinsoku/>
        <w:wordWrap/>
        <w:overflowPunct/>
        <w:topLinePunct w:val="0"/>
        <w:autoSpaceDE/>
        <w:autoSpaceDN/>
        <w:bidi w:val="0"/>
        <w:adjustRightInd/>
        <w:snapToGrid/>
        <w:spacing w:line="160" w:lineRule="atLeast"/>
        <w:jc w:val="both"/>
        <w:textAlignment w:val="auto"/>
        <w:rPr>
          <w:rFonts w:hint="eastAsia" w:ascii="微软雅黑" w:hAnsi="微软雅黑" w:eastAsia="微软雅黑" w:cs="Calibri"/>
          <w:b w:val="0"/>
          <w:bCs w:val="0"/>
          <w:color w:val="auto"/>
          <w:kern w:val="0"/>
          <w:sz w:val="18"/>
          <w:szCs w:val="18"/>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before="313" w:beforeLines="100" w:after="313" w:afterLines="100" w:line="0" w:lineRule="atLeast"/>
        <w:jc w:val="right"/>
        <w:textAlignment w:val="auto"/>
        <w:rPr>
          <w:rFonts w:hint="eastAsia"/>
        </w:rPr>
      </w:pPr>
      <w:r>
        <w:rPr>
          <w:rFonts w:hint="eastAsia" w:ascii="微软雅黑" w:hAnsi="微软雅黑" w:eastAsia="微软雅黑" w:cs="Calibri"/>
          <w:b/>
          <w:bCs/>
          <w:color w:val="auto"/>
          <w:kern w:val="0"/>
          <w:sz w:val="18"/>
          <w:szCs w:val="18"/>
        </w:rPr>
        <w:t>被保险人</w:t>
      </w:r>
      <w:r>
        <w:rPr>
          <w:rFonts w:hint="eastAsia" w:ascii="微软雅黑" w:hAnsi="微软雅黑" w:eastAsia="微软雅黑" w:cs="Calibri"/>
          <w:b w:val="0"/>
          <w:bCs w:val="0"/>
          <w:color w:val="auto"/>
          <w:kern w:val="0"/>
          <w:sz w:val="18"/>
          <w:szCs w:val="18"/>
        </w:rPr>
        <w:t>过去两年内投保人寿保险、意外险或申请复效时是否曾被保险公司拒保、延期、加收额外保费或作任何形式的合同修改？是否曾经申请或获得过重大疾病保险、恶性肿瘤保险或意外伤残保险理赔？</w:t>
      </w:r>
      <w:r>
        <w:rPr>
          <w:rFonts w:hint="eastAsia" w:ascii="微软雅黑" w:hAnsi="微软雅黑" w:eastAsia="微软雅黑" w:cs="Calibri"/>
          <w:b w:val="0"/>
          <w:bCs w:val="0"/>
          <w:color w:val="auto"/>
          <w:kern w:val="0"/>
          <w:sz w:val="18"/>
          <w:szCs w:val="18"/>
          <w:lang w:val="en-US" w:eastAsia="zh-CN"/>
        </w:rPr>
        <w:t xml:space="preserve">           </w:t>
      </w:r>
      <w:r>
        <w:rPr>
          <w:rFonts w:hint="eastAsia" w:ascii="微软雅黑" w:hAnsi="微软雅黑" w:eastAsia="微软雅黑" w:cs="Calibri"/>
          <w:b/>
          <w:bCs/>
          <w:color w:val="auto"/>
          <w:kern w:val="0"/>
          <w:sz w:val="18"/>
          <w:szCs w:val="18"/>
          <w:lang w:eastAsia="zh-CN"/>
        </w:rPr>
        <w:t>□</w:t>
      </w:r>
      <w:r>
        <w:rPr>
          <w:rFonts w:hint="eastAsia" w:ascii="微软雅黑" w:hAnsi="微软雅黑" w:eastAsia="微软雅黑" w:cs="Calibri"/>
          <w:b/>
          <w:bCs/>
          <w:color w:val="auto"/>
          <w:kern w:val="0"/>
          <w:sz w:val="18"/>
          <w:szCs w:val="18"/>
        </w:rPr>
        <w:t>是 □否</w:t>
      </w:r>
    </w:p>
    <w:p>
      <w:pPr>
        <w:keepNext w:val="0"/>
        <w:keepLines w:val="0"/>
        <w:pageBreakBefore w:val="0"/>
        <w:widowControl w:val="0"/>
        <w:kinsoku/>
        <w:wordWrap/>
        <w:overflowPunct/>
        <w:topLinePunct w:val="0"/>
        <w:autoSpaceDE/>
        <w:autoSpaceDN/>
        <w:bidi w:val="0"/>
        <w:adjustRightInd/>
        <w:snapToGrid/>
        <w:spacing w:before="313" w:beforeLines="100" w:line="160" w:lineRule="atLeast"/>
        <w:textAlignment w:val="auto"/>
        <w:rPr>
          <w:rFonts w:hint="eastAsia" w:ascii="微软雅黑" w:hAnsi="微软雅黑" w:eastAsia="微软雅黑" w:cs="Calibri"/>
          <w:b w:val="0"/>
          <w:bCs w:val="0"/>
          <w:color w:val="auto"/>
          <w:kern w:val="0"/>
          <w:sz w:val="18"/>
          <w:szCs w:val="18"/>
        </w:rPr>
      </w:pPr>
      <w:r>
        <w:rPr>
          <w:rFonts w:ascii="微软雅黑" w:hAnsi="微软雅黑" w:eastAsia="微软雅黑" w:cs="Calibri"/>
          <w:b w:val="0"/>
          <w:bCs w:val="0"/>
          <w:color w:val="auto"/>
          <w:kern w:val="0"/>
          <w:sz w:val="18"/>
          <w:szCs w:val="18"/>
        </w:rPr>
        <w:t>2</w:t>
      </w:r>
      <w:r>
        <w:rPr>
          <w:rFonts w:hint="eastAsia" w:ascii="微软雅黑" w:hAnsi="微软雅黑" w:eastAsia="微软雅黑" w:cs="Calibri"/>
          <w:b w:val="0"/>
          <w:bCs w:val="0"/>
          <w:color w:val="auto"/>
          <w:kern w:val="0"/>
          <w:sz w:val="18"/>
          <w:szCs w:val="18"/>
          <w:lang w:eastAsia="zh-CN"/>
        </w:rPr>
        <w:t>.</w:t>
      </w:r>
      <w:r>
        <w:rPr>
          <w:rFonts w:hint="eastAsia" w:ascii="微软雅黑" w:hAnsi="微软雅黑" w:eastAsia="微软雅黑" w:cs="Calibri"/>
          <w:b/>
          <w:bCs/>
          <w:color w:val="auto"/>
          <w:kern w:val="0"/>
          <w:sz w:val="18"/>
          <w:szCs w:val="18"/>
        </w:rPr>
        <w:t>被保险人</w:t>
      </w:r>
      <w:r>
        <w:rPr>
          <w:rFonts w:hint="eastAsia" w:ascii="微软雅黑" w:hAnsi="微软雅黑" w:eastAsia="微软雅黑" w:cs="Calibri"/>
          <w:b w:val="0"/>
          <w:bCs w:val="0"/>
          <w:color w:val="auto"/>
          <w:kern w:val="0"/>
          <w:sz w:val="18"/>
          <w:szCs w:val="18"/>
        </w:rPr>
        <w:t xml:space="preserve">是否目前患有或曾经患有或已经被告知有下列疾病或存在如下症状：  </w:t>
      </w:r>
      <w:r>
        <w:rPr>
          <w:rFonts w:hint="eastAsia" w:ascii="微软雅黑" w:hAnsi="微软雅黑" w:eastAsia="微软雅黑" w:cs="Calibri"/>
          <w:b w:val="0"/>
          <w:bCs w:val="0"/>
          <w:color w:val="auto"/>
          <w:kern w:val="0"/>
          <w:sz w:val="18"/>
          <w:szCs w:val="18"/>
          <w:lang w:val="en-US" w:eastAsia="zh-CN"/>
        </w:rPr>
        <w:t xml:space="preserve">                    </w:t>
      </w:r>
      <w:r>
        <w:rPr>
          <w:rFonts w:hint="eastAsia" w:ascii="微软雅黑" w:hAnsi="微软雅黑" w:eastAsia="微软雅黑" w:cs="Calibri"/>
          <w:b/>
          <w:bCs/>
          <w:color w:val="auto"/>
          <w:kern w:val="0"/>
          <w:sz w:val="18"/>
          <w:szCs w:val="18"/>
          <w:lang w:eastAsia="zh-CN"/>
        </w:rPr>
        <w:t>□</w:t>
      </w:r>
      <w:r>
        <w:rPr>
          <w:rFonts w:hint="eastAsia" w:ascii="微软雅黑" w:hAnsi="微软雅黑" w:eastAsia="微软雅黑" w:cs="Calibri"/>
          <w:b/>
          <w:bCs/>
          <w:color w:val="auto"/>
          <w:kern w:val="0"/>
          <w:sz w:val="18"/>
          <w:szCs w:val="18"/>
        </w:rPr>
        <w:t>是 □否</w:t>
      </w:r>
      <w:r>
        <w:rPr>
          <w:rFonts w:hint="eastAsia" w:ascii="微软雅黑" w:hAnsi="微软雅黑" w:eastAsia="微软雅黑" w:cs="Calibri"/>
          <w:b w:val="0"/>
          <w:bCs w:val="0"/>
          <w:color w:val="auto"/>
          <w:kern w:val="0"/>
          <w:sz w:val="18"/>
          <w:szCs w:val="18"/>
          <w:lang w:val="en-US" w:eastAsia="zh-CN"/>
        </w:rPr>
        <w:t xml:space="preserve">             </w:t>
      </w:r>
      <w:r>
        <w:rPr>
          <w:rFonts w:hint="eastAsia" w:ascii="微软雅黑" w:hAnsi="微软雅黑" w:eastAsia="微软雅黑" w:cs="Calibri"/>
          <w:b w:val="0"/>
          <w:bCs w:val="0"/>
          <w:color w:val="auto"/>
          <w:kern w:val="0"/>
          <w:sz w:val="18"/>
          <w:szCs w:val="18"/>
        </w:rPr>
        <w:t>恶性肿瘤（含白血病、淋巴瘤、原位癌）、脑部肿瘤、肺部肿物或结节、2级及以上高血压（收缩压≥160mmHg和/或舒张压≥100mmHg）、糖尿病、脑出血、脑栓塞、脑梗死、脑血管瘤或血管畸形、短暂性脑缺血、冠心病、心肌梗死、先天性心脏病、肺源性心脏病、风湿性心脏病、心功能不全Ⅱ级及以上、心脏瓣膜病、动脉瘤、动脉夹层、心肌病、肝炎（不包含乙肝病毒携带但肝功能正常状态者）、肝硬化、慢性肾炎、尿毒症及其他慢性肾脏疾病、肾功能不全、肾动脉狭窄、多囊肾、慢性阻塞性肺疾病、肺纤维化、呼吸衰竭、溃疡性结肠炎、克罗恩病、系统性红斑狼疮、类风湿性关节炎、再生障碍性贫血、血友病、骨髓增生异常、慢性胰腺炎、癫痫、多发性硬化症、精神疾病、智力障碍、失明（含单目）、瘫痪、双耳失聪、咀嚼或吞咽功能障碍、器官缺如、肢体缺失（上肢在腕关节以上、下肢在踝关节以上)、视神经或视网膜病变、重症肌无力、肌营养不良、阿尔茨海默病、帕金森氏病、接受器官移植、性病、艾滋病或艾滋病病毒感染；身体畸形或残疾、功能障碍或活动受限；酗酒或慢性酒精中毒、曾经或正在使用毒品或违禁药物？</w:t>
      </w: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160" w:lineRule="atLeast"/>
        <w:textAlignment w:val="auto"/>
        <w:rPr>
          <w:rFonts w:hint="eastAsia" w:ascii="微软雅黑" w:hAnsi="微软雅黑" w:eastAsia="微软雅黑" w:cs="Calibri"/>
          <w:b w:val="0"/>
          <w:bCs w:val="0"/>
          <w:color w:val="auto"/>
          <w:kern w:val="0"/>
          <w:sz w:val="18"/>
          <w:szCs w:val="18"/>
          <w:lang w:val="en-US" w:eastAsia="zh-CN"/>
        </w:rPr>
      </w:pPr>
      <w:r>
        <w:rPr>
          <w:rFonts w:hint="eastAsia" w:ascii="微软雅黑" w:hAnsi="微软雅黑" w:eastAsia="微软雅黑" w:cs="Calibri"/>
          <w:b w:val="0"/>
          <w:bCs w:val="0"/>
          <w:color w:val="auto"/>
          <w:kern w:val="0"/>
          <w:sz w:val="18"/>
          <w:szCs w:val="18"/>
        </w:rPr>
        <w:t>最近2年内，</w:t>
      </w:r>
      <w:r>
        <w:rPr>
          <w:rFonts w:hint="eastAsia" w:ascii="微软雅黑" w:hAnsi="微软雅黑" w:eastAsia="微软雅黑" w:cs="Calibri"/>
          <w:b/>
          <w:bCs/>
          <w:color w:val="auto"/>
          <w:kern w:val="0"/>
          <w:sz w:val="18"/>
          <w:szCs w:val="18"/>
        </w:rPr>
        <w:t>被保险人</w:t>
      </w:r>
      <w:r>
        <w:rPr>
          <w:rFonts w:hint="eastAsia" w:ascii="微软雅黑" w:hAnsi="微软雅黑" w:eastAsia="微软雅黑" w:cs="Calibri"/>
          <w:b w:val="0"/>
          <w:bCs w:val="0"/>
          <w:color w:val="auto"/>
          <w:kern w:val="0"/>
          <w:sz w:val="18"/>
          <w:szCs w:val="18"/>
        </w:rPr>
        <w:t xml:space="preserve">是否存在因上述告知情况以外的疾病连续住院治疗7天及以上或接受住院手术治疗，或被医生建议住院或手术治疗的情况？  </w:t>
      </w:r>
      <w:r>
        <w:rPr>
          <w:rFonts w:hint="eastAsia" w:ascii="微软雅黑" w:hAnsi="微软雅黑" w:eastAsia="微软雅黑" w:cs="Calibri"/>
          <w:b w:val="0"/>
          <w:bCs w:val="0"/>
          <w:color w:val="auto"/>
          <w:kern w:val="0"/>
          <w:sz w:val="18"/>
          <w:szCs w:val="18"/>
          <w:lang w:val="en-US" w:eastAsia="zh-CN"/>
        </w:rPr>
        <w:t xml:space="preserve">                                                             </w:t>
      </w:r>
      <w:r>
        <w:rPr>
          <w:rFonts w:hint="eastAsia" w:ascii="微软雅黑" w:hAnsi="微软雅黑" w:eastAsia="微软雅黑" w:cs="Calibri"/>
          <w:b/>
          <w:bCs/>
          <w:color w:val="auto"/>
          <w:kern w:val="0"/>
          <w:sz w:val="18"/>
          <w:szCs w:val="18"/>
          <w:lang w:eastAsia="zh-CN"/>
        </w:rPr>
        <w:t>□</w:t>
      </w:r>
      <w:r>
        <w:rPr>
          <w:rFonts w:hint="eastAsia" w:ascii="微软雅黑" w:hAnsi="微软雅黑" w:eastAsia="微软雅黑" w:cs="Calibri"/>
          <w:b/>
          <w:bCs/>
          <w:color w:val="auto"/>
          <w:kern w:val="0"/>
          <w:sz w:val="18"/>
          <w:szCs w:val="18"/>
        </w:rPr>
        <w:t>是 □否</w:t>
      </w:r>
      <w:r>
        <w:rPr>
          <w:rFonts w:hint="eastAsia" w:ascii="微软雅黑" w:hAnsi="微软雅黑" w:eastAsia="微软雅黑" w:cs="Calibri"/>
          <w:b w:val="0"/>
          <w:bCs w:val="0"/>
          <w:color w:val="auto"/>
          <w:kern w:val="0"/>
          <w:sz w:val="18"/>
          <w:szCs w:val="18"/>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160" w:lineRule="atLeast"/>
        <w:textAlignment w:val="auto"/>
        <w:rPr>
          <w:rFonts w:hint="default"/>
          <w:lang w:val="en-US" w:eastAsia="zh-CN"/>
        </w:rPr>
      </w:pPr>
      <w:r>
        <w:rPr>
          <w:rFonts w:hint="default" w:ascii="微软雅黑" w:hAnsi="微软雅黑" w:eastAsia="微软雅黑" w:cs="Calibri"/>
          <w:b/>
          <w:bCs/>
          <w:color w:val="auto"/>
          <w:kern w:val="0"/>
          <w:sz w:val="18"/>
          <w:szCs w:val="18"/>
        </w:rPr>
        <w:t>被保险人</w:t>
      </w:r>
      <w:r>
        <w:rPr>
          <w:rFonts w:hint="default" w:ascii="微软雅黑" w:hAnsi="微软雅黑" w:eastAsia="微软雅黑" w:cs="Calibri"/>
          <w:b w:val="0"/>
          <w:bCs w:val="0"/>
          <w:color w:val="auto"/>
          <w:kern w:val="0"/>
          <w:sz w:val="18"/>
          <w:szCs w:val="18"/>
        </w:rPr>
        <w:t xml:space="preserve">是否从事下列职业：矿产资源作业、高空作业（在坠落高度基准面（地面、平台等）2米或2米以上的高处作业的职业活动）、海上作业、井下作业、水下作业、隧道作业、电力或高压电作业、森林砍伐作业或森林防火人员、飞机/轮船机组人员、机械设备制造加工操作、金属/合金冶炼操作、消防员、爆破人员、潜水员、缉毒/防爆/刑警/交通警察、救灾抢险人员、非文职军人、拆船工人、战地记者、驯兽师、武打和特技演员、海洋渔业、货车/砂石车/游览船/小汽艇/液化气罐和油罐车司机及工作人员等特殊交通运输业人员、室外装潢/脚手架架设/玻璃幕墙安装/港口/水坝/桥梁/隧道/地铁工程等特殊建筑工程施工人员、从事接触有毒有害、易燃易爆气体或物质的危险职业？    </w:t>
      </w:r>
      <w:r>
        <w:rPr>
          <w:rFonts w:hint="eastAsia" w:ascii="微软雅黑" w:hAnsi="微软雅黑" w:eastAsia="微软雅黑" w:cs="Calibri"/>
          <w:b w:val="0"/>
          <w:bCs w:val="0"/>
          <w:color w:val="auto"/>
          <w:kern w:val="0"/>
          <w:sz w:val="18"/>
          <w:szCs w:val="18"/>
          <w:lang w:val="en-US" w:eastAsia="zh-CN"/>
        </w:rPr>
        <w:t xml:space="preserve">                                                                                     </w:t>
      </w:r>
      <w:r>
        <w:rPr>
          <w:rFonts w:hint="eastAsia" w:ascii="微软雅黑" w:hAnsi="微软雅黑" w:eastAsia="微软雅黑" w:cs="Calibri"/>
          <w:b/>
          <w:bCs/>
          <w:color w:val="auto"/>
          <w:kern w:val="0"/>
          <w:sz w:val="18"/>
          <w:szCs w:val="18"/>
          <w:lang w:eastAsia="zh-CN"/>
        </w:rPr>
        <w:t>□</w:t>
      </w:r>
      <w:r>
        <w:rPr>
          <w:rFonts w:hint="eastAsia" w:ascii="微软雅黑" w:hAnsi="微软雅黑" w:eastAsia="微软雅黑" w:cs="Calibri"/>
          <w:b/>
          <w:bCs/>
          <w:color w:val="auto"/>
          <w:kern w:val="0"/>
          <w:sz w:val="18"/>
          <w:szCs w:val="18"/>
        </w:rPr>
        <w:t>是 □否</w:t>
      </w:r>
    </w:p>
    <w:p>
      <w:pPr>
        <w:keepNext w:val="0"/>
        <w:keepLines w:val="0"/>
        <w:pageBreakBefore w:val="0"/>
        <w:widowControl w:val="0"/>
        <w:numPr>
          <w:ilvl w:val="0"/>
          <w:numId w:val="3"/>
        </w:numPr>
        <w:kinsoku/>
        <w:wordWrap/>
        <w:overflowPunct/>
        <w:topLinePunct w:val="0"/>
        <w:autoSpaceDE/>
        <w:autoSpaceDN/>
        <w:bidi w:val="0"/>
        <w:adjustRightInd/>
        <w:snapToGrid/>
        <w:spacing w:before="313" w:beforeLines="100" w:after="313" w:afterLines="100" w:line="160" w:lineRule="atLeast"/>
        <w:textAlignment w:val="auto"/>
        <w:rPr>
          <w:rFonts w:hint="eastAsia" w:ascii="宋体" w:hAnsi="宋体" w:eastAsia="宋体" w:cstheme="minorEastAsia"/>
          <w:b/>
          <w:bCs/>
          <w:color w:val="auto"/>
          <w:lang w:val="en-US" w:eastAsia="zh-CN"/>
        </w:rPr>
      </w:pPr>
      <w:r>
        <w:rPr>
          <w:rFonts w:hint="eastAsia" w:ascii="微软雅黑" w:hAnsi="微软雅黑" w:eastAsia="微软雅黑" w:cs="Calibri"/>
          <w:b/>
          <w:bCs/>
          <w:color w:val="auto"/>
          <w:kern w:val="0"/>
          <w:sz w:val="18"/>
          <w:szCs w:val="18"/>
        </w:rPr>
        <w:t>被保险人</w:t>
      </w:r>
      <w:r>
        <w:rPr>
          <w:rFonts w:hint="eastAsia" w:ascii="微软雅黑" w:hAnsi="微软雅黑" w:eastAsia="微软雅黑" w:cs="Calibri"/>
          <w:b w:val="0"/>
          <w:bCs w:val="0"/>
          <w:color w:val="auto"/>
          <w:kern w:val="0"/>
          <w:sz w:val="18"/>
          <w:szCs w:val="18"/>
        </w:rPr>
        <w:t>是否有危险嗜好或从事危险活动，如私人性质飞行、赛车、赛马、滑雪、跳伞、攀岩、蹦极、潜水、跳水、拳击、武术、摔跤、探险或特技活动及其他高风险活动？</w:t>
      </w:r>
      <w:r>
        <w:rPr>
          <w:rFonts w:hint="eastAsia" w:ascii="微软雅黑" w:hAnsi="微软雅黑" w:eastAsia="微软雅黑" w:cs="Calibri"/>
          <w:b w:val="0"/>
          <w:bCs w:val="0"/>
          <w:color w:val="auto"/>
          <w:kern w:val="0"/>
          <w:sz w:val="18"/>
          <w:szCs w:val="18"/>
          <w:lang w:val="en-US" w:eastAsia="zh-CN"/>
        </w:rPr>
        <w:t xml:space="preserve">                                       </w:t>
      </w:r>
      <w:r>
        <w:rPr>
          <w:rFonts w:hint="eastAsia" w:ascii="微软雅黑" w:hAnsi="微软雅黑" w:eastAsia="微软雅黑" w:cs="Calibri"/>
          <w:b/>
          <w:bCs/>
          <w:color w:val="auto"/>
          <w:kern w:val="0"/>
          <w:sz w:val="18"/>
          <w:szCs w:val="18"/>
          <w:lang w:eastAsia="zh-CN"/>
        </w:rPr>
        <w:t>□</w:t>
      </w:r>
      <w:r>
        <w:rPr>
          <w:rFonts w:hint="eastAsia" w:ascii="微软雅黑" w:hAnsi="微软雅黑" w:eastAsia="微软雅黑" w:cs="Calibri"/>
          <w:b/>
          <w:bCs/>
          <w:color w:val="auto"/>
          <w:kern w:val="0"/>
          <w:sz w:val="18"/>
          <w:szCs w:val="18"/>
        </w:rPr>
        <w:t>是 □否</w:t>
      </w:r>
      <w:r>
        <w:rPr>
          <w:rFonts w:hint="eastAsia" w:ascii="微软雅黑" w:hAnsi="微软雅黑" w:eastAsia="微软雅黑" w:cs="Calibri"/>
          <w:b w:val="0"/>
          <w:bCs w:val="0"/>
          <w:color w:val="auto"/>
          <w:kern w:val="0"/>
          <w:sz w:val="18"/>
          <w:szCs w:val="18"/>
          <w:lang w:val="en-US" w:eastAsia="zh-CN"/>
        </w:rPr>
        <w:t xml:space="preserve">            </w:t>
      </w: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default"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说明栏：____________________________________________________________________________</w:t>
      </w: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____________________________________________________________________________________</w:t>
      </w: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p>
    <w:p>
      <w:pPr>
        <w:keepNext w:val="0"/>
        <w:keepLines w:val="0"/>
        <w:pageBreakBefore w:val="0"/>
        <w:widowControl w:val="0"/>
        <w:numPr>
          <w:ilvl w:val="-1"/>
          <w:numId w:val="0"/>
        </w:numPr>
        <w:kinsoku/>
        <w:wordWrap/>
        <w:overflowPunct/>
        <w:topLinePunct w:val="0"/>
        <w:autoSpaceDE/>
        <w:autoSpaceDN/>
        <w:bidi w:val="0"/>
        <w:adjustRightInd/>
        <w:snapToGrid/>
        <w:spacing w:line="160" w:lineRule="atLeast"/>
        <w:textAlignment w:val="auto"/>
        <w:rPr>
          <w:rFonts w:hint="eastAsia"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 xml:space="preserve">投保人签名：                           被保险人/法定监护人签名：             </w:t>
      </w:r>
    </w:p>
    <w:p>
      <w:pPr>
        <w:widowControl/>
        <w:jc w:val="left"/>
        <w:rPr>
          <w:rFonts w:hint="eastAsia" w:ascii="宋体" w:hAnsi="宋体" w:eastAsia="宋体" w:cstheme="minorEastAsia"/>
          <w:b/>
          <w:bCs/>
          <w:color w:val="auto"/>
          <w:lang w:val="en-US" w:eastAsia="zh-CN"/>
        </w:rPr>
      </w:pPr>
      <w:r>
        <w:rPr>
          <w:rFonts w:hint="eastAsia" w:ascii="宋体" w:hAnsi="宋体" w:eastAsia="宋体" w:cstheme="minorEastAsia"/>
          <w:b/>
          <w:bCs/>
          <w:color w:val="auto"/>
          <w:lang w:val="en-US" w:eastAsia="zh-CN"/>
        </w:rPr>
        <w:t xml:space="preserve">                    年    月    日                                    年    月    日 </w:t>
      </w:r>
    </w:p>
    <w:p>
      <w:pPr>
        <w:pStyle w:val="2"/>
        <w:rPr>
          <w:rFonts w:hint="eastAsia"/>
        </w:rPr>
      </w:pPr>
    </w:p>
    <w:p>
      <w:pPr>
        <w:pStyle w:val="2"/>
        <w:jc w:val="center"/>
        <w:rPr>
          <w:rFonts w:hint="eastAsia" w:ascii="宋体" w:hAnsi="宋体" w:eastAsia="宋体" w:cs="宋体"/>
          <w:b/>
          <w:bCs/>
          <w:color w:val="000000"/>
          <w:kern w:val="0"/>
          <w:sz w:val="36"/>
          <w:szCs w:val="36"/>
          <w:lang w:val="en-US" w:eastAsia="zh-CN" w:bidi="ar"/>
        </w:rPr>
      </w:pPr>
      <w:r>
        <w:rPr>
          <w:rFonts w:hint="default" w:ascii="黑体" w:hAnsi="宋体" w:eastAsia="黑体" w:cs="黑体"/>
          <w:b/>
          <w:bCs/>
          <w:color w:val="000000"/>
          <w:kern w:val="0"/>
          <w:sz w:val="36"/>
          <w:szCs w:val="36"/>
          <w:lang w:val="en-US" w:eastAsia="zh-CN" w:bidi="ar"/>
        </w:rPr>
        <w:t>二、保全规则</w:t>
      </w:r>
    </w:p>
    <w:p>
      <w:pPr>
        <w:keepNext w:val="0"/>
        <w:keepLines w:val="0"/>
        <w:widowControl/>
        <w:suppressLineNumbers w:val="0"/>
        <w:ind w:firstLine="562" w:firstLineChars="200"/>
        <w:jc w:val="left"/>
      </w:pPr>
      <w:r>
        <w:rPr>
          <w:rFonts w:hint="eastAsia" w:ascii="宋体" w:hAnsi="宋体" w:eastAsia="宋体" w:cs="宋体"/>
          <w:b/>
          <w:bCs/>
          <w:color w:val="000000"/>
          <w:kern w:val="0"/>
          <w:sz w:val="28"/>
          <w:szCs w:val="28"/>
          <w:lang w:val="en-US" w:eastAsia="zh-CN" w:bidi="ar"/>
        </w:rPr>
        <w:t xml:space="preserve">第一条 </w:t>
      </w:r>
      <w:r>
        <w:rPr>
          <w:rFonts w:hint="eastAsia" w:ascii="宋体" w:hAnsi="宋体" w:eastAsia="宋体" w:cs="宋体"/>
          <w:color w:val="000000"/>
          <w:kern w:val="0"/>
          <w:sz w:val="28"/>
          <w:szCs w:val="28"/>
          <w:lang w:val="en-US" w:eastAsia="zh-CN" w:bidi="ar"/>
        </w:rPr>
        <w:t xml:space="preserve">一般规则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遵照《国民养老保险股份有限公司个险保全管理办法》执行。 </w:t>
      </w:r>
    </w:p>
    <w:p>
      <w:pPr>
        <w:keepNext w:val="0"/>
        <w:keepLines w:val="0"/>
        <w:widowControl/>
        <w:suppressLineNumbers w:val="0"/>
        <w:ind w:firstLine="562" w:firstLineChars="200"/>
        <w:jc w:val="left"/>
      </w:pPr>
      <w:r>
        <w:rPr>
          <w:rFonts w:hint="eastAsia" w:ascii="宋体" w:hAnsi="宋体" w:eastAsia="宋体" w:cs="宋体"/>
          <w:b/>
          <w:bCs/>
          <w:color w:val="000000"/>
          <w:kern w:val="0"/>
          <w:sz w:val="28"/>
          <w:szCs w:val="28"/>
          <w:lang w:val="en-US" w:eastAsia="zh-CN" w:bidi="ar"/>
        </w:rPr>
        <w:t xml:space="preserve">第二条 </w:t>
      </w:r>
      <w:r>
        <w:rPr>
          <w:rFonts w:hint="eastAsia" w:ascii="宋体" w:hAnsi="宋体" w:eastAsia="宋体" w:cs="宋体"/>
          <w:color w:val="000000"/>
          <w:kern w:val="0"/>
          <w:sz w:val="28"/>
          <w:szCs w:val="28"/>
          <w:lang w:val="en-US" w:eastAsia="zh-CN" w:bidi="ar"/>
        </w:rPr>
        <w:t xml:space="preserve">险种规则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（一）满期保险金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被保险人生存至保险期间届满，将按基本保险金额给付满期保险金， </w:t>
      </w:r>
    </w:p>
    <w:p>
      <w:pPr>
        <w:keepNext w:val="0"/>
        <w:keepLines w:val="0"/>
        <w:widowControl/>
        <w:suppressLineNumbers w:val="0"/>
        <w:ind w:firstLine="0" w:firstLineChars="0"/>
        <w:jc w:val="left"/>
      </w:pPr>
      <w:r>
        <w:rPr>
          <w:rFonts w:hint="eastAsia" w:ascii="宋体" w:hAnsi="宋体" w:eastAsia="宋体" w:cs="宋体"/>
          <w:color w:val="000000"/>
          <w:kern w:val="0"/>
          <w:sz w:val="28"/>
          <w:szCs w:val="28"/>
          <w:lang w:val="en-US" w:eastAsia="zh-CN" w:bidi="ar"/>
        </w:rPr>
        <w:t xml:space="preserve">合同终止。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（二）犹豫期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本险种的犹豫期为15天。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（三）保单贷款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本险种支持保单贷款。贷款金额不得超过申请贷款时本合同现金价值的80%扣除各项欠款后的余额，每次贷款期限最长不超过6个月。当未还贷款本金及利息加上其他各项欠款达到现金价值时，保险合同的效力中止。 </w:t>
      </w:r>
    </w:p>
    <w:p>
      <w:pPr>
        <w:keepNext w:val="0"/>
        <w:keepLines w:val="0"/>
        <w:widowControl/>
        <w:numPr>
          <w:ilvl w:val="0"/>
          <w:numId w:val="4"/>
        </w:numPr>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自动垫交</w:t>
      </w:r>
    </w:p>
    <w:p>
      <w:pPr>
        <w:widowControl/>
        <w:spacing w:line="240" w:lineRule="auto"/>
        <w:ind w:firstLine="420" w:firstLineChars="200"/>
        <w:jc w:val="left"/>
        <w:rPr>
          <w:rFonts w:hint="default"/>
          <w:lang w:val="en-US" w:eastAsia="zh-CN"/>
        </w:rPr>
      </w:pPr>
      <w:r>
        <w:rPr>
          <w:rFonts w:hint="eastAsia"/>
          <w:lang w:val="en-US" w:eastAsia="zh-CN"/>
        </w:rPr>
        <w:t xml:space="preserve">  </w:t>
      </w:r>
      <w:r>
        <w:rPr>
          <w:rFonts w:hint="eastAsia" w:ascii="宋体" w:hAnsi="宋体" w:eastAsia="宋体" w:cs="宋体"/>
          <w:color w:val="000000"/>
          <w:kern w:val="0"/>
          <w:sz w:val="28"/>
          <w:szCs w:val="28"/>
          <w:lang w:val="en-US" w:eastAsia="zh-CN" w:bidi="ar"/>
        </w:rPr>
        <w:t>如果投保人在</w:t>
      </w:r>
      <w:r>
        <w:rPr>
          <w:rFonts w:hint="eastAsia" w:ascii="宋体" w:hAnsi="宋体" w:eastAsia="宋体" w:cs="宋体"/>
          <w:color w:val="000000"/>
          <w:kern w:val="0"/>
          <w:sz w:val="28"/>
          <w:szCs w:val="28"/>
          <w:lang w:bidi="ar"/>
        </w:rPr>
        <w:t>宽限期结束时仍未支付保险费且已选择了自动垫交，</w:t>
      </w:r>
      <w:r>
        <w:rPr>
          <w:rFonts w:hint="eastAsia" w:ascii="宋体" w:hAnsi="宋体" w:eastAsia="宋体" w:cs="宋体"/>
          <w:color w:val="000000"/>
          <w:kern w:val="0"/>
          <w:sz w:val="28"/>
          <w:szCs w:val="28"/>
          <w:lang w:val="en-US" w:eastAsia="zh-CN" w:bidi="ar"/>
        </w:rPr>
        <w:t>公司</w:t>
      </w:r>
      <w:r>
        <w:rPr>
          <w:rFonts w:hint="eastAsia" w:ascii="宋体" w:hAnsi="宋体" w:eastAsia="宋体" w:cs="宋体"/>
          <w:color w:val="000000"/>
          <w:kern w:val="0"/>
          <w:sz w:val="28"/>
          <w:szCs w:val="28"/>
          <w:lang w:bidi="ar"/>
        </w:rPr>
        <w:t>将以现金价值扣除尚未偿还的各项欠款之后的余额自动垫交到期应付的保险费，</w:t>
      </w:r>
      <w:r>
        <w:rPr>
          <w:rFonts w:hint="eastAsia" w:ascii="宋体" w:hAnsi="宋体" w:eastAsia="宋体" w:cs="宋体"/>
          <w:color w:val="000000"/>
          <w:kern w:val="0"/>
          <w:sz w:val="28"/>
          <w:szCs w:val="28"/>
          <w:lang w:val="en-US" w:eastAsia="zh-CN" w:bidi="ar"/>
        </w:rPr>
        <w:t>保险合同</w:t>
      </w:r>
      <w:r>
        <w:rPr>
          <w:rFonts w:hint="eastAsia" w:ascii="宋体" w:hAnsi="宋体" w:eastAsia="宋体" w:cs="宋体"/>
          <w:color w:val="000000"/>
          <w:kern w:val="0"/>
          <w:sz w:val="28"/>
          <w:szCs w:val="28"/>
          <w:lang w:bidi="ar"/>
        </w:rPr>
        <w:t xml:space="preserve">继续有效。所垫交的保险费视同保单贷款，贷款利率及规则同保单贷款。当已垫交的保险费及其利息与各项欠款之和达到现金价值时，保险合同效力中止。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（五）保单复效 </w:t>
      </w:r>
    </w:p>
    <w:p>
      <w:pPr>
        <w:keepNext w:val="0"/>
        <w:keepLines w:val="0"/>
        <w:widowControl/>
        <w:suppressLineNumbers w:val="0"/>
        <w:ind w:firstLine="560" w:firstLineChars="200"/>
        <w:jc w:val="left"/>
        <w:rPr>
          <w:b w:val="0"/>
          <w:bCs w:val="0"/>
          <w:color w:val="auto"/>
        </w:rPr>
      </w:pPr>
      <w:r>
        <w:rPr>
          <w:rFonts w:hint="eastAsia" w:ascii="宋体" w:hAnsi="宋体" w:eastAsia="宋体" w:cs="宋体"/>
          <w:b w:val="0"/>
          <w:bCs w:val="0"/>
          <w:color w:val="auto"/>
          <w:kern w:val="0"/>
          <w:sz w:val="28"/>
          <w:szCs w:val="28"/>
          <w:lang w:val="en-US" w:eastAsia="zh-CN" w:bidi="ar"/>
        </w:rPr>
        <w:t xml:space="preserve">保险合同效力中止后 2 年内，投保人可以申请恢复合同效力。经协商并达成协议，自补交保险费、累积利息及其他未还款项之日起，合同效力恢复。保险合同复效后，将恢复参与红利分配，并且将补充分配中止期间的红利（如有），累积生息的红利余额自复效之日起重新开始计息。自效力中止之日起满2年未达成协议的，公司有权解除合同。保险合同解除的，公司退还合同效力中止时的现金价值。 </w:t>
      </w:r>
    </w:p>
    <w:p>
      <w:pPr>
        <w:pStyle w:val="2"/>
        <w:ind w:firstLine="560" w:firstLineChars="200"/>
        <w:rPr>
          <w:rFonts w:hint="eastAsia" w:ascii="宋体" w:hAnsi="宋体" w:cs="宋体"/>
          <w:color w:val="auto"/>
          <w:sz w:val="28"/>
          <w:szCs w:val="28"/>
          <w:lang w:val="en-US"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六</w:t>
      </w: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红利领取方式变更</w:t>
      </w:r>
    </w:p>
    <w:p>
      <w:pPr>
        <w:pStyle w:val="2"/>
        <w:ind w:firstLine="560" w:firstLineChars="200"/>
        <w:rPr>
          <w:rFonts w:hint="eastAsia" w:ascii="宋体" w:hAnsi="宋体" w:cs="宋体" w:eastAsiaTheme="minorEastAsia"/>
          <w:color w:val="auto"/>
          <w:sz w:val="28"/>
          <w:szCs w:val="28"/>
        </w:rPr>
      </w:pPr>
      <w:r>
        <w:rPr>
          <w:rFonts w:hint="eastAsia" w:ascii="宋体" w:hAnsi="宋体" w:cs="宋体" w:eastAsiaTheme="minorEastAsia"/>
          <w:color w:val="auto"/>
          <w:sz w:val="28"/>
          <w:szCs w:val="28"/>
        </w:rPr>
        <w:t>支持现金领取和累积生息。累积生息：红利留存在</w:t>
      </w:r>
      <w:r>
        <w:rPr>
          <w:rFonts w:hint="eastAsia" w:ascii="宋体" w:hAnsi="宋体" w:cs="宋体"/>
          <w:color w:val="auto"/>
          <w:sz w:val="28"/>
          <w:szCs w:val="28"/>
          <w:lang w:val="en-US" w:eastAsia="zh-CN"/>
        </w:rPr>
        <w:t>公</w:t>
      </w:r>
      <w:r>
        <w:rPr>
          <w:rFonts w:hint="eastAsia" w:ascii="宋体" w:hAnsi="宋体" w:cs="宋体" w:eastAsiaTheme="minorEastAsia"/>
          <w:color w:val="auto"/>
          <w:sz w:val="28"/>
          <w:szCs w:val="28"/>
        </w:rPr>
        <w:t>司，按每年确定的红利累积生息利率累积生息，并于投保人申请领取保单红利或保险合同效力终止时给付。</w:t>
      </w: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560" w:firstLineChars="200"/>
        <w:rPr>
          <w:rFonts w:hint="eastAsia" w:ascii="宋体" w:hAnsi="宋体" w:cs="宋体" w:eastAsiaTheme="minorEastAsia"/>
          <w:color w:val="auto"/>
          <w:sz w:val="28"/>
          <w:szCs w:val="28"/>
        </w:rPr>
      </w:pPr>
    </w:p>
    <w:p>
      <w:pPr>
        <w:pStyle w:val="2"/>
        <w:ind w:firstLine="0" w:firstLineChars="0"/>
        <w:rPr>
          <w:rFonts w:hint="eastAsia" w:ascii="宋体" w:hAnsi="宋体" w:cs="宋体" w:eastAsiaTheme="minorEastAsia"/>
          <w:color w:val="auto"/>
          <w:sz w:val="28"/>
          <w:szCs w:val="28"/>
          <w:lang w:val="en-US" w:eastAsia="zh-CN"/>
        </w:rPr>
      </w:pPr>
    </w:p>
    <w:p>
      <w:pPr>
        <w:pStyle w:val="2"/>
        <w:numPr>
          <w:ilvl w:val="0"/>
          <w:numId w:val="5"/>
        </w:numPr>
        <w:ind w:firstLine="723" w:firstLineChars="200"/>
        <w:jc w:val="center"/>
        <w:rPr>
          <w:rFonts w:hint="default" w:ascii="黑体" w:hAnsi="宋体" w:eastAsia="黑体" w:cs="黑体"/>
          <w:b/>
          <w:bCs/>
          <w:color w:val="000000"/>
          <w:kern w:val="0"/>
          <w:sz w:val="36"/>
          <w:szCs w:val="36"/>
          <w:lang w:val="en-US" w:eastAsia="zh-CN" w:bidi="ar"/>
        </w:rPr>
      </w:pPr>
      <w:r>
        <w:rPr>
          <w:rFonts w:hint="default" w:ascii="黑体" w:hAnsi="宋体" w:eastAsia="黑体" w:cs="黑体"/>
          <w:b/>
          <w:bCs/>
          <w:color w:val="000000"/>
          <w:kern w:val="0"/>
          <w:sz w:val="36"/>
          <w:szCs w:val="36"/>
          <w:lang w:val="en-US" w:eastAsia="zh-CN" w:bidi="ar"/>
        </w:rPr>
        <w:t>理赔规则</w:t>
      </w:r>
    </w:p>
    <w:tbl>
      <w:tblPr>
        <w:tblStyle w:val="6"/>
        <w:tblW w:w="9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1" w:type="dxa"/>
            <w:vAlign w:val="center"/>
          </w:tcPr>
          <w:p>
            <w:pPr>
              <w:jc w:val="center"/>
              <w:rPr>
                <w:rFonts w:ascii="黑体" w:hAnsi="黑体" w:eastAsia="黑体" w:cs="黑体"/>
                <w:b/>
                <w:bCs/>
                <w:sz w:val="28"/>
                <w:szCs w:val="28"/>
              </w:rPr>
            </w:pPr>
            <w:r>
              <w:rPr>
                <w:rFonts w:hint="eastAsia" w:ascii="黑体" w:hAnsi="黑体" w:eastAsia="黑体" w:cs="黑体"/>
                <w:b/>
                <w:bCs/>
                <w:sz w:val="28"/>
                <w:szCs w:val="28"/>
              </w:rPr>
              <w:t>业务场景</w:t>
            </w:r>
          </w:p>
        </w:tc>
        <w:tc>
          <w:tcPr>
            <w:tcW w:w="7338" w:type="dxa"/>
            <w:vAlign w:val="center"/>
          </w:tcPr>
          <w:p>
            <w:pPr>
              <w:jc w:val="center"/>
              <w:rPr>
                <w:rFonts w:ascii="黑体" w:hAnsi="黑体" w:eastAsia="黑体" w:cs="黑体"/>
                <w:b/>
                <w:bCs/>
                <w:sz w:val="28"/>
                <w:szCs w:val="28"/>
              </w:rPr>
            </w:pPr>
            <w:r>
              <w:rPr>
                <w:rFonts w:hint="eastAsia" w:ascii="黑体" w:hAnsi="黑体" w:eastAsia="黑体" w:cs="黑体"/>
                <w:b/>
                <w:bCs/>
                <w:sz w:val="28"/>
                <w:szCs w:val="28"/>
                <w:lang w:val="en-US" w:eastAsia="zh-CN"/>
              </w:rPr>
              <w:t>规则内容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1" w:type="dxa"/>
            <w:vAlign w:val="center"/>
          </w:tcPr>
          <w:p>
            <w:pPr>
              <w:spacing w:line="360" w:lineRule="auto"/>
              <w:jc w:val="center"/>
              <w:rPr>
                <w:rFonts w:ascii="黑体" w:hAnsi="黑体" w:eastAsia="黑体" w:cs="黑体"/>
                <w:sz w:val="28"/>
                <w:szCs w:val="28"/>
              </w:rPr>
            </w:pPr>
            <w:r>
              <w:rPr>
                <w:rFonts w:hint="eastAsia" w:ascii="黑体" w:hAnsi="黑体" w:eastAsia="黑体" w:cs="黑体"/>
                <w:sz w:val="28"/>
                <w:szCs w:val="28"/>
              </w:rPr>
              <w:t>保险责任</w:t>
            </w:r>
          </w:p>
        </w:tc>
        <w:tc>
          <w:tcPr>
            <w:tcW w:w="7338" w:type="dxa"/>
            <w:vAlign w:val="center"/>
          </w:tcPr>
          <w:p>
            <w:pPr>
              <w:spacing w:line="360" w:lineRule="auto"/>
              <w:jc w:val="left"/>
              <w:rPr>
                <w:rFonts w:hint="eastAsia" w:ascii="宋体" w:hAnsi="宋体"/>
                <w:color w:val="000000" w:themeColor="text1"/>
                <w:sz w:val="24"/>
                <w:szCs w:val="32"/>
                <w14:textFill>
                  <w14:solidFill>
                    <w14:schemeClr w14:val="tx1"/>
                  </w14:solidFill>
                </w14:textFill>
              </w:rPr>
            </w:pPr>
            <w:r>
              <w:rPr>
                <w:rFonts w:hint="eastAsia"/>
                <w:b/>
                <w:color w:val="000000" w:themeColor="text1"/>
                <w:szCs w:val="21"/>
                <w14:textFill>
                  <w14:solidFill>
                    <w14:schemeClr w14:val="tx1"/>
                  </w14:solidFill>
                </w14:textFill>
              </w:rPr>
              <w:t>身故</w:t>
            </w:r>
            <w:r>
              <w:rPr>
                <w:b/>
                <w:color w:val="000000" w:themeColor="text1"/>
                <w:szCs w:val="21"/>
                <w14:textFill>
                  <w14:solidFill>
                    <w14:schemeClr w14:val="tx1"/>
                  </w14:solidFill>
                </w14:textFill>
              </w:rPr>
              <w:t>保险金</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保险合同有效期内，若被保险人身故，将按下列两者的较大值给付身故保险金：</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1.被保险人身故时保险合同的现金价值；</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2.被保险人身故时，投保人已交纳的保险合同保险费乘以被保险人身故时的到达年龄对应的比例系数（该比例系数为：身故时的到达年龄为0-17周岁，给付比例100%；身故时的到达年龄为18-40周岁，给付比例160%；身故时的到达年龄为41-60周岁，给付比例140%；身故时的到达年龄为61周岁及以上，给付比例120%。其中，到达年龄指的是被保险人原始投保年龄加上当时保单年度数再减去1后所得到的年龄）。</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给付后合同终止。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11" w:type="dxa"/>
            <w:vAlign w:val="center"/>
          </w:tcPr>
          <w:p>
            <w:pPr>
              <w:spacing w:line="360" w:lineRule="auto"/>
              <w:jc w:val="center"/>
              <w:rPr>
                <w:rFonts w:ascii="黑体" w:hAnsi="黑体" w:eastAsia="黑体" w:cs="黑体"/>
                <w:sz w:val="28"/>
                <w:szCs w:val="28"/>
              </w:rPr>
            </w:pPr>
            <w:r>
              <w:rPr>
                <w:rFonts w:hint="eastAsia" w:ascii="黑体" w:hAnsi="黑体" w:eastAsia="黑体" w:cs="黑体"/>
                <w:sz w:val="28"/>
                <w:szCs w:val="28"/>
                <w:lang w:val="en-US" w:eastAsia="zh-CN"/>
              </w:rPr>
              <w:t>责任免除</w:t>
            </w:r>
          </w:p>
        </w:tc>
        <w:tc>
          <w:tcPr>
            <w:tcW w:w="7338" w:type="dxa"/>
            <w:vAlign w:val="center"/>
          </w:tcPr>
          <w:p>
            <w:pPr>
              <w:spacing w:line="360" w:lineRule="auto"/>
              <w:ind w:firstLine="480" w:firstLineChars="200"/>
              <w:jc w:val="left"/>
              <w:rPr>
                <w:rFonts w:ascii="宋体" w:hAnsi="宋体"/>
                <w:sz w:val="24"/>
                <w:szCs w:val="32"/>
              </w:rPr>
            </w:pPr>
            <w:r>
              <w:rPr>
                <w:rFonts w:hint="eastAsia" w:ascii="宋体" w:hAnsi="宋体"/>
                <w:sz w:val="24"/>
                <w:szCs w:val="32"/>
              </w:rPr>
              <w:t>因下列情形之一导致被保险人身故的，公司不承担给付身故保险金的责任：</w:t>
            </w:r>
          </w:p>
          <w:p>
            <w:pPr>
              <w:spacing w:line="360" w:lineRule="auto"/>
              <w:ind w:firstLine="480" w:firstLineChars="200"/>
              <w:jc w:val="left"/>
              <w:rPr>
                <w:rFonts w:ascii="宋体" w:hAnsi="宋体"/>
                <w:sz w:val="24"/>
                <w:szCs w:val="32"/>
              </w:rPr>
            </w:pPr>
            <w:r>
              <w:rPr>
                <w:rFonts w:hint="eastAsia" w:ascii="宋体" w:hAnsi="宋体"/>
                <w:sz w:val="24"/>
                <w:szCs w:val="32"/>
              </w:rPr>
              <w:t>1．投保人对被保险人的故意杀害、故意伤害；</w:t>
            </w:r>
          </w:p>
          <w:p>
            <w:pPr>
              <w:spacing w:line="360" w:lineRule="auto"/>
              <w:ind w:firstLine="480" w:firstLineChars="200"/>
              <w:jc w:val="left"/>
              <w:rPr>
                <w:rFonts w:ascii="宋体" w:hAnsi="宋体"/>
                <w:sz w:val="24"/>
                <w:szCs w:val="32"/>
              </w:rPr>
            </w:pPr>
            <w:r>
              <w:rPr>
                <w:rFonts w:hint="eastAsia" w:ascii="宋体" w:hAnsi="宋体"/>
                <w:sz w:val="24"/>
                <w:szCs w:val="32"/>
              </w:rPr>
              <w:t>2．被保险人故意犯罪或者抗拒依法采取的刑事强制措施；</w:t>
            </w:r>
          </w:p>
          <w:p>
            <w:pPr>
              <w:spacing w:line="360" w:lineRule="auto"/>
              <w:ind w:firstLine="480" w:firstLineChars="200"/>
              <w:jc w:val="left"/>
              <w:rPr>
                <w:rFonts w:ascii="宋体" w:hAnsi="宋体"/>
                <w:sz w:val="24"/>
                <w:szCs w:val="32"/>
              </w:rPr>
            </w:pPr>
            <w:r>
              <w:rPr>
                <w:rFonts w:hint="eastAsia" w:ascii="宋体" w:hAnsi="宋体"/>
                <w:sz w:val="24"/>
                <w:szCs w:val="32"/>
              </w:rPr>
              <w:t>3．被保险人自保险合同成立或者保险合同效力恢复之日起2年内自杀，但被保险人自杀时为无民事行为能力人的除外。</w:t>
            </w:r>
          </w:p>
          <w:p>
            <w:pPr>
              <w:spacing w:line="360" w:lineRule="auto"/>
              <w:ind w:firstLine="480" w:firstLineChars="200"/>
              <w:jc w:val="left"/>
              <w:rPr>
                <w:rFonts w:ascii="宋体" w:hAnsi="宋体"/>
                <w:sz w:val="24"/>
                <w:szCs w:val="32"/>
              </w:rPr>
            </w:pPr>
            <w:r>
              <w:rPr>
                <w:rFonts w:hint="eastAsia" w:ascii="宋体" w:hAnsi="宋体"/>
                <w:sz w:val="24"/>
                <w:szCs w:val="32"/>
              </w:rPr>
              <w:t>发生上述第1项情形导致被保险人身故的，保险合同终止，公司向被保险人的继承人（除投保人本人外）退还保险合同的现金价值。</w:t>
            </w:r>
          </w:p>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sz w:val="24"/>
                <w:szCs w:val="32"/>
              </w:rPr>
              <w:t>发生上述其他情形导致被保险人身故的，保险合同终止，公司向投保人退还保险合同的现金价值。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711" w:type="dxa"/>
            <w:vAlign w:val="center"/>
          </w:tcPr>
          <w:p>
            <w:pPr>
              <w:spacing w:line="360" w:lineRule="auto"/>
              <w:jc w:val="center"/>
              <w:rPr>
                <w:rFonts w:ascii="黑体" w:hAnsi="黑体" w:eastAsia="黑体" w:cs="黑体"/>
                <w:sz w:val="28"/>
                <w:szCs w:val="28"/>
              </w:rPr>
            </w:pPr>
            <w:r>
              <w:rPr>
                <w:rFonts w:hint="eastAsia" w:ascii="黑体" w:hAnsi="黑体" w:eastAsia="黑体" w:cs="黑体"/>
                <w:sz w:val="28"/>
                <w:szCs w:val="28"/>
              </w:rPr>
              <w:t>未如实告知</w:t>
            </w:r>
          </w:p>
        </w:tc>
        <w:tc>
          <w:tcPr>
            <w:tcW w:w="7338" w:type="dxa"/>
            <w:vAlign w:val="center"/>
          </w:tcPr>
          <w:p>
            <w:pPr>
              <w:spacing w:line="360" w:lineRule="auto"/>
              <w:ind w:firstLine="480" w:firstLineChars="200"/>
              <w:jc w:val="left"/>
              <w:rPr>
                <w:rFonts w:ascii="宋体" w:hAnsi="宋体"/>
                <w:color w:val="000000" w:themeColor="text1"/>
                <w:sz w:val="24"/>
                <w:szCs w:val="32"/>
                <w14:textFill>
                  <w14:solidFill>
                    <w14:schemeClr w14:val="tx1"/>
                  </w14:solidFill>
                </w14:textFill>
              </w:rPr>
            </w:pPr>
            <w:r>
              <w:rPr>
                <w:rFonts w:hint="eastAsia" w:ascii="宋体" w:hAnsi="宋体"/>
                <w:color w:val="000000" w:themeColor="text1"/>
                <w:sz w:val="24"/>
                <w:szCs w:val="32"/>
                <w14:textFill>
                  <w14:solidFill>
                    <w14:schemeClr w14:val="tx1"/>
                  </w14:solidFill>
                </w14:textFill>
              </w:rPr>
              <w:t>如</w:t>
            </w:r>
            <w:r>
              <w:rPr>
                <w:rFonts w:hint="eastAsia" w:ascii="宋体" w:hAnsi="宋体"/>
                <w:color w:val="000000" w:themeColor="text1"/>
                <w:sz w:val="24"/>
                <w:szCs w:val="32"/>
                <w:lang w:val="en-US" w:eastAsia="zh-CN"/>
                <w14:textFill>
                  <w14:solidFill>
                    <w14:schemeClr w14:val="tx1"/>
                  </w14:solidFill>
                </w14:textFill>
              </w:rPr>
              <w:t>投保人</w:t>
            </w:r>
            <w:r>
              <w:rPr>
                <w:rFonts w:hint="eastAsia" w:ascii="宋体" w:hAnsi="宋体"/>
                <w:color w:val="000000" w:themeColor="text1"/>
                <w:sz w:val="24"/>
                <w:szCs w:val="32"/>
                <w14:textFill>
                  <w14:solidFill>
                    <w14:schemeClr w14:val="tx1"/>
                  </w14:solidFill>
                </w14:textFill>
              </w:rPr>
              <w:t>故意或者因重大过失未履行如实告知义务，足以影响公司决定是否同意承保或者提高保险费率的，公司有权解除本合同。</w:t>
            </w:r>
          </w:p>
          <w:p>
            <w:pPr>
              <w:spacing w:line="360" w:lineRule="auto"/>
              <w:ind w:firstLine="480" w:firstLineChars="200"/>
              <w:jc w:val="left"/>
              <w:rPr>
                <w:rFonts w:ascii="黑体" w:hAnsi="黑体" w:eastAsia="黑体" w:cs="黑体"/>
                <w:sz w:val="24"/>
              </w:rPr>
            </w:pPr>
            <w:r>
              <w:rPr>
                <w:rFonts w:hint="eastAsia" w:ascii="宋体" w:hAnsi="宋体"/>
                <w:color w:val="000000" w:themeColor="text1"/>
                <w:sz w:val="24"/>
                <w:szCs w:val="32"/>
                <w14:textFill>
                  <w14:solidFill>
                    <w14:schemeClr w14:val="tx1"/>
                  </w14:solidFill>
                </w14:textFill>
              </w:rPr>
              <w:t>如</w:t>
            </w:r>
            <w:r>
              <w:rPr>
                <w:rFonts w:hint="eastAsia" w:ascii="宋体" w:hAnsi="宋体"/>
                <w:color w:val="000000" w:themeColor="text1"/>
                <w:sz w:val="24"/>
                <w:szCs w:val="32"/>
                <w:lang w:val="en-US" w:eastAsia="zh-CN"/>
                <w14:textFill>
                  <w14:solidFill>
                    <w14:schemeClr w14:val="tx1"/>
                  </w14:solidFill>
                </w14:textFill>
              </w:rPr>
              <w:t>投保人</w:t>
            </w:r>
            <w:r>
              <w:rPr>
                <w:rFonts w:hint="eastAsia" w:ascii="宋体" w:hAnsi="宋体"/>
                <w:color w:val="000000" w:themeColor="text1"/>
                <w:sz w:val="24"/>
                <w:szCs w:val="32"/>
                <w14:textFill>
                  <w14:solidFill>
                    <w14:schemeClr w14:val="tx1"/>
                  </w14:solidFill>
                </w14:textFill>
              </w:rPr>
              <w:t>故意不履行如实告知义务，对于合同解除前发生的保险事故，公司不承担给付保险金的责任，并不退还保险费；如因重大过失未履行如实告知义务，对保险事故的发生有严重影响的，对于合同解除前发生的保险事故，公司不承担给付保险金的责任，但会退还保险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711" w:type="dxa"/>
            <w:vAlign w:val="center"/>
          </w:tcPr>
          <w:p>
            <w:pPr>
              <w:spacing w:line="360" w:lineRule="auto"/>
              <w:jc w:val="center"/>
              <w:rPr>
                <w:rFonts w:ascii="黑体" w:hAnsi="黑体" w:eastAsia="黑体" w:cs="黑体"/>
                <w:sz w:val="28"/>
                <w:szCs w:val="28"/>
              </w:rPr>
            </w:pPr>
            <w:r>
              <w:rPr>
                <w:rFonts w:ascii="黑体" w:hAnsi="黑体" w:eastAsia="黑体" w:cs="黑体"/>
                <w:sz w:val="28"/>
                <w:szCs w:val="28"/>
              </w:rPr>
              <w:t>未还款项</w:t>
            </w:r>
          </w:p>
        </w:tc>
        <w:tc>
          <w:tcPr>
            <w:tcW w:w="7338" w:type="dxa"/>
            <w:vAlign w:val="center"/>
          </w:tcPr>
          <w:p>
            <w:pPr>
              <w:spacing w:line="360" w:lineRule="auto"/>
              <w:ind w:firstLine="480" w:firstLineChars="200"/>
              <w:jc w:val="left"/>
              <w:rPr>
                <w:rFonts w:ascii="黑体" w:hAnsi="黑体" w:eastAsia="黑体" w:cs="黑体"/>
                <w:sz w:val="24"/>
              </w:rPr>
            </w:pPr>
            <w:r>
              <w:rPr>
                <w:rFonts w:hint="eastAsia" w:ascii="宋体" w:hAnsi="宋体"/>
                <w:color w:val="000000" w:themeColor="text1"/>
                <w:sz w:val="24"/>
                <w:szCs w:val="32"/>
                <w14:textFill>
                  <w14:solidFill>
                    <w14:schemeClr w14:val="tx1"/>
                  </w14:solidFill>
                </w14:textFill>
              </w:rPr>
              <w:t>理赔时，如果保险合同有欠交的保险费或其他未还清款项，公司会在扣除欠款及应付利息后，再进行给付。</w:t>
            </w:r>
          </w:p>
        </w:tc>
      </w:tr>
    </w:tbl>
    <w:p>
      <w:pPr>
        <w:pStyle w:val="2"/>
        <w:numPr>
          <w:ilvl w:val="-1"/>
          <w:numId w:val="0"/>
        </w:numPr>
        <w:ind w:firstLine="0" w:firstLineChars="0"/>
        <w:jc w:val="both"/>
        <w:rPr>
          <w:rFonts w:hint="default" w:ascii="黑体" w:hAnsi="宋体" w:eastAsia="黑体" w:cs="黑体"/>
          <w:b/>
          <w:bCs/>
          <w:color w:val="000000"/>
          <w:kern w:val="0"/>
          <w:sz w:val="36"/>
          <w:szCs w:val="36"/>
          <w:lang w:val="en-US" w:eastAsia="zh-CN" w:bidi="ar"/>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3DC751"/>
    <w:multiLevelType w:val="singleLevel"/>
    <w:tmpl w:val="DF3DC751"/>
    <w:lvl w:ilvl="0" w:tentative="0">
      <w:start w:val="4"/>
      <w:numFmt w:val="chineseCounting"/>
      <w:suff w:val="nothing"/>
      <w:lvlText w:val="（%1）"/>
      <w:lvlJc w:val="left"/>
      <w:rPr>
        <w:rFonts w:hint="eastAsia"/>
      </w:rPr>
    </w:lvl>
  </w:abstractNum>
  <w:abstractNum w:abstractNumId="1">
    <w:nsid w:val="0809CEE7"/>
    <w:multiLevelType w:val="singleLevel"/>
    <w:tmpl w:val="0809CEE7"/>
    <w:lvl w:ilvl="0" w:tentative="0">
      <w:start w:val="3"/>
      <w:numFmt w:val="decimal"/>
      <w:suff w:val="space"/>
      <w:lvlText w:val="%1."/>
      <w:lvlJc w:val="left"/>
      <w:rPr>
        <w:rFonts w:hint="default"/>
        <w:b w:val="0"/>
        <w:bCs w:val="0"/>
      </w:rPr>
    </w:lvl>
  </w:abstractNum>
  <w:abstractNum w:abstractNumId="2">
    <w:nsid w:val="244C05B7"/>
    <w:multiLevelType w:val="singleLevel"/>
    <w:tmpl w:val="244C05B7"/>
    <w:lvl w:ilvl="0" w:tentative="0">
      <w:start w:val="1"/>
      <w:numFmt w:val="decimal"/>
      <w:lvlText w:val="%1."/>
      <w:lvlJc w:val="left"/>
      <w:pPr>
        <w:tabs>
          <w:tab w:val="left" w:pos="312"/>
        </w:tabs>
      </w:pPr>
    </w:lvl>
  </w:abstractNum>
  <w:abstractNum w:abstractNumId="3">
    <w:nsid w:val="3695EEEA"/>
    <w:multiLevelType w:val="singleLevel"/>
    <w:tmpl w:val="3695EEEA"/>
    <w:lvl w:ilvl="0" w:tentative="0">
      <w:start w:val="3"/>
      <w:numFmt w:val="chineseCounting"/>
      <w:suff w:val="nothing"/>
      <w:lvlText w:val="%1、"/>
      <w:lvlJc w:val="left"/>
      <w:rPr>
        <w:rFonts w:hint="eastAsia"/>
      </w:rPr>
    </w:lvl>
  </w:abstractNum>
  <w:abstractNum w:abstractNumId="4">
    <w:nsid w:val="64FDBC95"/>
    <w:multiLevelType w:val="singleLevel"/>
    <w:tmpl w:val="64FDBC95"/>
    <w:lvl w:ilvl="0" w:tentative="0">
      <w:start w:val="8"/>
      <w:numFmt w:val="chineseCounting"/>
      <w:suff w:val="space"/>
      <w:lvlText w:val="第%1条"/>
      <w:lvlJc w:val="left"/>
      <w:rPr>
        <w:rFonts w:hint="eastAsia"/>
        <w:b/>
        <w:bCs/>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MzAxODlkNTJlY2QxNjI5ZDFiZjlkZWNjM2NkYzAifQ=="/>
  </w:docVars>
  <w:rsids>
    <w:rsidRoot w:val="5766770B"/>
    <w:rsid w:val="015773B3"/>
    <w:rsid w:val="024C6C32"/>
    <w:rsid w:val="026A1F0B"/>
    <w:rsid w:val="02E712E7"/>
    <w:rsid w:val="032B053F"/>
    <w:rsid w:val="03427792"/>
    <w:rsid w:val="03E626F3"/>
    <w:rsid w:val="04884A69"/>
    <w:rsid w:val="052B1173"/>
    <w:rsid w:val="05786FDF"/>
    <w:rsid w:val="06BC0624"/>
    <w:rsid w:val="07C83E1B"/>
    <w:rsid w:val="096C509E"/>
    <w:rsid w:val="09AF4121"/>
    <w:rsid w:val="0B4526FC"/>
    <w:rsid w:val="0C046238"/>
    <w:rsid w:val="0D4F1295"/>
    <w:rsid w:val="0D5A7F99"/>
    <w:rsid w:val="0E58404C"/>
    <w:rsid w:val="0EAD0721"/>
    <w:rsid w:val="0EB86F32"/>
    <w:rsid w:val="0FA46B03"/>
    <w:rsid w:val="11204B1F"/>
    <w:rsid w:val="113B5DFF"/>
    <w:rsid w:val="122B6F4F"/>
    <w:rsid w:val="12AC0002"/>
    <w:rsid w:val="12B94EC3"/>
    <w:rsid w:val="13173CF9"/>
    <w:rsid w:val="131C328B"/>
    <w:rsid w:val="1346667B"/>
    <w:rsid w:val="149D2DCF"/>
    <w:rsid w:val="14EC73E1"/>
    <w:rsid w:val="17693D53"/>
    <w:rsid w:val="17976A1E"/>
    <w:rsid w:val="188C19BF"/>
    <w:rsid w:val="191F3965"/>
    <w:rsid w:val="19F241CF"/>
    <w:rsid w:val="1A02674A"/>
    <w:rsid w:val="1A384AFD"/>
    <w:rsid w:val="1A8E7D82"/>
    <w:rsid w:val="1C8C59BB"/>
    <w:rsid w:val="1CFA34AD"/>
    <w:rsid w:val="1D88612F"/>
    <w:rsid w:val="1EC923CE"/>
    <w:rsid w:val="1F8041E1"/>
    <w:rsid w:val="1FB4508B"/>
    <w:rsid w:val="1FC93F8F"/>
    <w:rsid w:val="20AE6BBA"/>
    <w:rsid w:val="2144631E"/>
    <w:rsid w:val="21B038D2"/>
    <w:rsid w:val="22951DF6"/>
    <w:rsid w:val="239828B2"/>
    <w:rsid w:val="240E24B8"/>
    <w:rsid w:val="24732BA7"/>
    <w:rsid w:val="2483022C"/>
    <w:rsid w:val="253D7326"/>
    <w:rsid w:val="2568354D"/>
    <w:rsid w:val="25E66CC5"/>
    <w:rsid w:val="2674429E"/>
    <w:rsid w:val="27985783"/>
    <w:rsid w:val="28424E86"/>
    <w:rsid w:val="2B8E1652"/>
    <w:rsid w:val="2CF03FBF"/>
    <w:rsid w:val="2D1201F4"/>
    <w:rsid w:val="2D276E61"/>
    <w:rsid w:val="2D72431F"/>
    <w:rsid w:val="2DF02D79"/>
    <w:rsid w:val="2E0835A3"/>
    <w:rsid w:val="2E577EC5"/>
    <w:rsid w:val="2E613B22"/>
    <w:rsid w:val="2E746294"/>
    <w:rsid w:val="2E9E2C9D"/>
    <w:rsid w:val="2EE76D96"/>
    <w:rsid w:val="2F064D36"/>
    <w:rsid w:val="3076603D"/>
    <w:rsid w:val="330B1B18"/>
    <w:rsid w:val="337C6DE3"/>
    <w:rsid w:val="34145801"/>
    <w:rsid w:val="34336FAF"/>
    <w:rsid w:val="34E34AF4"/>
    <w:rsid w:val="35C04978"/>
    <w:rsid w:val="386B6390"/>
    <w:rsid w:val="390A69A0"/>
    <w:rsid w:val="395C33D7"/>
    <w:rsid w:val="3A2E433E"/>
    <w:rsid w:val="3A784373"/>
    <w:rsid w:val="3AA11F01"/>
    <w:rsid w:val="3AB331C1"/>
    <w:rsid w:val="3D072E14"/>
    <w:rsid w:val="3D3D666D"/>
    <w:rsid w:val="3DE11DF4"/>
    <w:rsid w:val="3DE867BF"/>
    <w:rsid w:val="3E4E0FB5"/>
    <w:rsid w:val="3ED35495"/>
    <w:rsid w:val="3F673921"/>
    <w:rsid w:val="3F8B0AEC"/>
    <w:rsid w:val="3F957D04"/>
    <w:rsid w:val="42DA2400"/>
    <w:rsid w:val="431F6F1A"/>
    <w:rsid w:val="438E1499"/>
    <w:rsid w:val="43B649E7"/>
    <w:rsid w:val="4499056C"/>
    <w:rsid w:val="449D459A"/>
    <w:rsid w:val="45240790"/>
    <w:rsid w:val="46337EE4"/>
    <w:rsid w:val="47E926FC"/>
    <w:rsid w:val="49062725"/>
    <w:rsid w:val="49F61864"/>
    <w:rsid w:val="4A857119"/>
    <w:rsid w:val="4BC65E1C"/>
    <w:rsid w:val="4CC26752"/>
    <w:rsid w:val="4F1E0016"/>
    <w:rsid w:val="4FD35E5B"/>
    <w:rsid w:val="51826BC2"/>
    <w:rsid w:val="52E32946"/>
    <w:rsid w:val="55ED7906"/>
    <w:rsid w:val="57145D0B"/>
    <w:rsid w:val="5766770B"/>
    <w:rsid w:val="59251423"/>
    <w:rsid w:val="59923F1D"/>
    <w:rsid w:val="599A2874"/>
    <w:rsid w:val="5A8677FC"/>
    <w:rsid w:val="5B94542D"/>
    <w:rsid w:val="5C186ED1"/>
    <w:rsid w:val="5C6D234C"/>
    <w:rsid w:val="5CD54DC2"/>
    <w:rsid w:val="5D9E56B4"/>
    <w:rsid w:val="5D9E7FB1"/>
    <w:rsid w:val="5DAE0D9F"/>
    <w:rsid w:val="5DD002E6"/>
    <w:rsid w:val="5F8C29A6"/>
    <w:rsid w:val="608138D8"/>
    <w:rsid w:val="609E2E96"/>
    <w:rsid w:val="61BF4E97"/>
    <w:rsid w:val="61F34B71"/>
    <w:rsid w:val="62DC26BD"/>
    <w:rsid w:val="6459036C"/>
    <w:rsid w:val="648E52AF"/>
    <w:rsid w:val="66E12C28"/>
    <w:rsid w:val="6754174B"/>
    <w:rsid w:val="68114049"/>
    <w:rsid w:val="681608D8"/>
    <w:rsid w:val="68E06A63"/>
    <w:rsid w:val="69366BE8"/>
    <w:rsid w:val="6A0B0806"/>
    <w:rsid w:val="6ABB48A4"/>
    <w:rsid w:val="6AF655AE"/>
    <w:rsid w:val="6C056107"/>
    <w:rsid w:val="6D36133C"/>
    <w:rsid w:val="6D5E43C8"/>
    <w:rsid w:val="6ED83FDF"/>
    <w:rsid w:val="71390ECE"/>
    <w:rsid w:val="741F324E"/>
    <w:rsid w:val="74D8002E"/>
    <w:rsid w:val="74DF7582"/>
    <w:rsid w:val="750951B1"/>
    <w:rsid w:val="75572A9F"/>
    <w:rsid w:val="76EC5878"/>
    <w:rsid w:val="76ED31C3"/>
    <w:rsid w:val="77403658"/>
    <w:rsid w:val="784B0E08"/>
    <w:rsid w:val="78E32CB7"/>
    <w:rsid w:val="7A1976CE"/>
    <w:rsid w:val="7B651E1B"/>
    <w:rsid w:val="7C2C2F45"/>
    <w:rsid w:val="7C7D1611"/>
    <w:rsid w:val="7C833CF7"/>
    <w:rsid w:val="7CD61D61"/>
    <w:rsid w:val="7CEB1017"/>
    <w:rsid w:val="7CEB15FC"/>
    <w:rsid w:val="7DD961ED"/>
    <w:rsid w:val="7E600462"/>
    <w:rsid w:val="7ECD2EEB"/>
    <w:rsid w:val="7ED67E4C"/>
    <w:rsid w:val="7F913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3247</Words>
  <Characters>3623</Characters>
  <Lines>0</Lines>
  <Paragraphs>0</Paragraphs>
  <TotalTime>12</TotalTime>
  <ScaleCrop>false</ScaleCrop>
  <LinksUpToDate>false</LinksUpToDate>
  <CharactersWithSpaces>4056</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2022-10-26T05:53:00Z</dcterms:created>
  <dc:creator>WPS_1647344623</dc:creator>
  <cp:lastModifiedBy>关   钰</cp:lastModifiedBy>
  <cp:lastPrinted>2023-01-16T10:39:00Z</cp:lastPrinted>
  <dcterms:modified xsi:type="dcterms:W3CDTF">2025-06-30T01:23:12Z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79B3E39CAAFC4978A25A2839D3999840</vt:lpwstr>
  </property>
  <property fmtid="{D5CDD505-2E9C-101B-9397-08002B2CF9AE}" pid="4" name="KSOTemplateDocerSaveRecord">
    <vt:lpwstr>eyJoZGlkIjoiYzQ4YTE3NDQxYWQyNGRlNTllYTUxYTlmZGRkMmY0ZDAiLCJ1c2VySWQiOiIxNDgyMzcwOTAzIn0=</vt:lpwstr>
  </property>
</Properties>
</file>