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E4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关于南银理财鼎瑞安稳一年定开2025第27期公募人民币理财产品</w:t>
      </w:r>
    </w:p>
    <w:p w14:paraId="74015F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费率优惠的公告</w:t>
      </w:r>
      <w:bookmarkStart w:id="0" w:name="_GoBack"/>
      <w:bookmarkEnd w:id="0"/>
    </w:p>
    <w:p w14:paraId="18528DA1"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尊敬的投资者：</w:t>
      </w:r>
    </w:p>
    <w:p w14:paraId="00A55D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为了感谢广大投资者对本公司的信任和支持，本公司将对南银理财鼎瑞安稳一年定开2025第27期公募人民币理财产品（产品登记编码：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Z7003225000371</w:t>
      </w: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）进行费率优惠，具体如下：</w:t>
      </w:r>
    </w:p>
    <w:tbl>
      <w:tblPr>
        <w:tblStyle w:val="4"/>
        <w:tblpPr w:leftFromText="180" w:rightFromText="180" w:vertAnchor="text" w:horzAnchor="page" w:tblpXSpec="center" w:tblpY="345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46"/>
        <w:gridCol w:w="1444"/>
        <w:gridCol w:w="1378"/>
        <w:gridCol w:w="1529"/>
        <w:gridCol w:w="1558"/>
      </w:tblGrid>
      <w:tr w14:paraId="3DD1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477A74ED">
            <w:pPr>
              <w:widowControl w:val="0"/>
              <w:spacing w:after="0"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内部销售代码</w:t>
            </w:r>
          </w:p>
        </w:tc>
        <w:tc>
          <w:tcPr>
            <w:tcW w:w="804" w:type="pct"/>
            <w:vAlign w:val="center"/>
          </w:tcPr>
          <w:p w14:paraId="066001FF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优惠的费用</w:t>
            </w:r>
          </w:p>
        </w:tc>
        <w:tc>
          <w:tcPr>
            <w:tcW w:w="803" w:type="pct"/>
            <w:vAlign w:val="center"/>
          </w:tcPr>
          <w:p w14:paraId="19479F2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说明书费率</w:t>
            </w:r>
          </w:p>
        </w:tc>
        <w:tc>
          <w:tcPr>
            <w:tcW w:w="766" w:type="pct"/>
            <w:vAlign w:val="center"/>
          </w:tcPr>
          <w:p w14:paraId="3DCA88B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850" w:type="pct"/>
            <w:vAlign w:val="center"/>
          </w:tcPr>
          <w:p w14:paraId="4E7189B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优惠起始日期</w:t>
            </w:r>
          </w:p>
        </w:tc>
        <w:tc>
          <w:tcPr>
            <w:tcW w:w="866" w:type="pct"/>
            <w:vAlign w:val="center"/>
          </w:tcPr>
          <w:p w14:paraId="390B251A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4"/>
                <w:vertAlign w:val="baseline"/>
                <w:lang w:val="en-US" w:eastAsia="zh-CN"/>
              </w:rPr>
              <w:t>优惠截止日期</w:t>
            </w:r>
          </w:p>
        </w:tc>
      </w:tr>
      <w:tr w14:paraId="5AF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06888FB7">
            <w:pPr>
              <w:widowControl w:val="0"/>
              <w:spacing w:after="0" w:line="240" w:lineRule="auto"/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Z30037</w:t>
            </w:r>
          </w:p>
        </w:tc>
        <w:tc>
          <w:tcPr>
            <w:tcW w:w="804" w:type="pct"/>
            <w:vAlign w:val="center"/>
          </w:tcPr>
          <w:p w14:paraId="3EFAC83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0246562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0.20%</w:t>
            </w:r>
          </w:p>
        </w:tc>
        <w:tc>
          <w:tcPr>
            <w:tcW w:w="766" w:type="pct"/>
            <w:vAlign w:val="center"/>
          </w:tcPr>
          <w:p w14:paraId="4DAD1AF7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restart"/>
            <w:vAlign w:val="center"/>
          </w:tcPr>
          <w:p w14:paraId="58CFDD5F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2025年11月13日（含）</w:t>
            </w:r>
          </w:p>
        </w:tc>
        <w:tc>
          <w:tcPr>
            <w:tcW w:w="866" w:type="pct"/>
            <w:vMerge w:val="restart"/>
            <w:vAlign w:val="center"/>
          </w:tcPr>
          <w:p w14:paraId="1813A922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2025年12月31日（含）</w:t>
            </w:r>
          </w:p>
        </w:tc>
      </w:tr>
      <w:tr w14:paraId="4966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2304389E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ZB30037</w:t>
            </w:r>
          </w:p>
        </w:tc>
        <w:tc>
          <w:tcPr>
            <w:tcW w:w="804" w:type="pct"/>
            <w:vAlign w:val="center"/>
          </w:tcPr>
          <w:p w14:paraId="42C5339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18767F40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0.20%</w:t>
            </w:r>
          </w:p>
        </w:tc>
        <w:tc>
          <w:tcPr>
            <w:tcW w:w="766" w:type="pct"/>
            <w:vAlign w:val="center"/>
          </w:tcPr>
          <w:p w14:paraId="02DBA429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463E74D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4F0A72B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E74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158180C2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ZC30037</w:t>
            </w:r>
          </w:p>
        </w:tc>
        <w:tc>
          <w:tcPr>
            <w:tcW w:w="804" w:type="pct"/>
            <w:vAlign w:val="center"/>
          </w:tcPr>
          <w:p w14:paraId="01BFF25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7FBF7A93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0.20%</w:t>
            </w:r>
          </w:p>
        </w:tc>
        <w:tc>
          <w:tcPr>
            <w:tcW w:w="766" w:type="pct"/>
            <w:vAlign w:val="center"/>
          </w:tcPr>
          <w:p w14:paraId="2D4BC6D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2664EF61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2229380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043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5FCEF3E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ZD30037</w:t>
            </w:r>
          </w:p>
        </w:tc>
        <w:tc>
          <w:tcPr>
            <w:tcW w:w="804" w:type="pct"/>
            <w:vAlign w:val="center"/>
          </w:tcPr>
          <w:p w14:paraId="719461D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3DE6D41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0.15%</w:t>
            </w:r>
          </w:p>
        </w:tc>
        <w:tc>
          <w:tcPr>
            <w:tcW w:w="766" w:type="pct"/>
            <w:vAlign w:val="center"/>
          </w:tcPr>
          <w:p w14:paraId="68043E5D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40C9D91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15FB8B7F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4CB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5B7289F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ZE30037</w:t>
            </w:r>
          </w:p>
        </w:tc>
        <w:tc>
          <w:tcPr>
            <w:tcW w:w="804" w:type="pct"/>
            <w:vAlign w:val="center"/>
          </w:tcPr>
          <w:p w14:paraId="627023D1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8A8D8D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0.15%</w:t>
            </w:r>
          </w:p>
        </w:tc>
        <w:tc>
          <w:tcPr>
            <w:tcW w:w="766" w:type="pct"/>
            <w:vAlign w:val="center"/>
          </w:tcPr>
          <w:p w14:paraId="79F2338E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2F445EC9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7BA4B4BF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2C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2618207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ZF30037</w:t>
            </w:r>
          </w:p>
        </w:tc>
        <w:tc>
          <w:tcPr>
            <w:tcW w:w="804" w:type="pct"/>
            <w:vAlign w:val="center"/>
          </w:tcPr>
          <w:p w14:paraId="60B08696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CCCFACD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0.15%</w:t>
            </w:r>
          </w:p>
        </w:tc>
        <w:tc>
          <w:tcPr>
            <w:tcW w:w="766" w:type="pct"/>
            <w:vAlign w:val="center"/>
          </w:tcPr>
          <w:p w14:paraId="74F6F88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28CE4DDD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2002F94E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69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7" w:type="pct"/>
            <w:vAlign w:val="center"/>
          </w:tcPr>
          <w:p w14:paraId="08258FB0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ZG30037</w:t>
            </w:r>
          </w:p>
        </w:tc>
        <w:tc>
          <w:tcPr>
            <w:tcW w:w="804" w:type="pct"/>
            <w:vAlign w:val="center"/>
          </w:tcPr>
          <w:p w14:paraId="036DED68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7F0D54CD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0.15%</w:t>
            </w:r>
          </w:p>
        </w:tc>
        <w:tc>
          <w:tcPr>
            <w:tcW w:w="766" w:type="pct"/>
            <w:vAlign w:val="center"/>
          </w:tcPr>
          <w:p w14:paraId="15ED116E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168307F6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52521B4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95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7" w:type="pct"/>
            <w:vAlign w:val="center"/>
          </w:tcPr>
          <w:p w14:paraId="69CBC71A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ZM30037</w:t>
            </w:r>
          </w:p>
        </w:tc>
        <w:tc>
          <w:tcPr>
            <w:tcW w:w="804" w:type="pct"/>
            <w:vAlign w:val="center"/>
          </w:tcPr>
          <w:p w14:paraId="2F45E9F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65D361B6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0.20%</w:t>
            </w:r>
          </w:p>
        </w:tc>
        <w:tc>
          <w:tcPr>
            <w:tcW w:w="766" w:type="pct"/>
            <w:vAlign w:val="center"/>
          </w:tcPr>
          <w:p w14:paraId="39376887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321EB186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4CFD069D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9D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7" w:type="pct"/>
            <w:vAlign w:val="center"/>
          </w:tcPr>
          <w:p w14:paraId="45ECDFF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ZN30037</w:t>
            </w:r>
          </w:p>
        </w:tc>
        <w:tc>
          <w:tcPr>
            <w:tcW w:w="804" w:type="pct"/>
            <w:vAlign w:val="center"/>
          </w:tcPr>
          <w:p w14:paraId="034E0498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6BF4B98">
            <w:pPr>
              <w:widowControl w:val="0"/>
              <w:spacing w:after="0" w:line="240" w:lineRule="auto"/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0.10%</w:t>
            </w:r>
          </w:p>
        </w:tc>
        <w:tc>
          <w:tcPr>
            <w:tcW w:w="766" w:type="pct"/>
            <w:vAlign w:val="center"/>
          </w:tcPr>
          <w:p w14:paraId="33A1F2C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2A5EC365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6DF600D8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836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907" w:type="pct"/>
            <w:vAlign w:val="center"/>
          </w:tcPr>
          <w:p w14:paraId="78AC9C2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ZQ30037</w:t>
            </w:r>
          </w:p>
        </w:tc>
        <w:tc>
          <w:tcPr>
            <w:tcW w:w="804" w:type="pct"/>
            <w:vAlign w:val="center"/>
          </w:tcPr>
          <w:p w14:paraId="757994D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BBB2649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0.20%</w:t>
            </w:r>
          </w:p>
        </w:tc>
        <w:tc>
          <w:tcPr>
            <w:tcW w:w="766" w:type="pct"/>
            <w:vAlign w:val="center"/>
          </w:tcPr>
          <w:p w14:paraId="2C5CA802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46346404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060F03EA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E7C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7" w:type="pct"/>
            <w:vAlign w:val="center"/>
          </w:tcPr>
          <w:p w14:paraId="12B042F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ZR30037</w:t>
            </w:r>
          </w:p>
        </w:tc>
        <w:tc>
          <w:tcPr>
            <w:tcW w:w="804" w:type="pct"/>
            <w:vAlign w:val="center"/>
          </w:tcPr>
          <w:p w14:paraId="36929C8C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固定管理费</w:t>
            </w:r>
          </w:p>
        </w:tc>
        <w:tc>
          <w:tcPr>
            <w:tcW w:w="803" w:type="pct"/>
            <w:vAlign w:val="center"/>
          </w:tcPr>
          <w:p w14:paraId="25FB6445">
            <w:pPr>
              <w:widowControl w:val="0"/>
              <w:spacing w:after="0" w:line="240" w:lineRule="auto"/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0.15%</w:t>
            </w:r>
          </w:p>
        </w:tc>
        <w:tc>
          <w:tcPr>
            <w:tcW w:w="766" w:type="pct"/>
            <w:vAlign w:val="center"/>
          </w:tcPr>
          <w:p w14:paraId="464E27FE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0.01%</w:t>
            </w:r>
          </w:p>
        </w:tc>
        <w:tc>
          <w:tcPr>
            <w:tcW w:w="850" w:type="pct"/>
            <w:vMerge w:val="continue"/>
            <w:vAlign w:val="center"/>
          </w:tcPr>
          <w:p w14:paraId="40BC2BB2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5549B96B">
            <w:pPr>
              <w:widowControl w:val="0"/>
              <w:spacing w:after="0" w:line="24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E1CE0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如您对本公告有任何疑问，可联系本理财产品代销机构或本公司，代销机构及本公司将竭诚为您服务。</w:t>
      </w:r>
    </w:p>
    <w:p w14:paraId="53FA85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感谢您一直以来的支持和信赖！</w:t>
      </w:r>
    </w:p>
    <w:p w14:paraId="3E72AD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特此公告。</w:t>
      </w:r>
    </w:p>
    <w:p w14:paraId="22129E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南银理财有限责任公司</w:t>
      </w:r>
    </w:p>
    <w:p w14:paraId="1E7376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eastAsia" w:ascii="方正黑体_GBK" w:hAnsi="方正黑体_GBK" w:eastAsia="方正黑体_GBK" w:cs="方正黑体_GBK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sz w:val="22"/>
          <w:szCs w:val="22"/>
          <w:lang w:val="en-US" w:eastAsia="zh-CN"/>
        </w:rPr>
        <w:t>2025年10月31日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GZjZGI0NDAxNWRlYTU1MDQzODcxYWQzMWNkMWYifQ=="/>
  </w:docVars>
  <w:rsids>
    <w:rsidRoot w:val="4DEE718D"/>
    <w:rsid w:val="00065C4A"/>
    <w:rsid w:val="0007668C"/>
    <w:rsid w:val="00213C5B"/>
    <w:rsid w:val="0134468E"/>
    <w:rsid w:val="025739FF"/>
    <w:rsid w:val="043D6C25"/>
    <w:rsid w:val="06E005A2"/>
    <w:rsid w:val="07017B09"/>
    <w:rsid w:val="09315A6F"/>
    <w:rsid w:val="09497BA5"/>
    <w:rsid w:val="0A300AD6"/>
    <w:rsid w:val="0ABA4F15"/>
    <w:rsid w:val="0B187AA4"/>
    <w:rsid w:val="0CC5124A"/>
    <w:rsid w:val="0D5C3512"/>
    <w:rsid w:val="0D8B5BE6"/>
    <w:rsid w:val="0E1E6649"/>
    <w:rsid w:val="0EFB0BEE"/>
    <w:rsid w:val="0F427A72"/>
    <w:rsid w:val="0F5D06A4"/>
    <w:rsid w:val="10757382"/>
    <w:rsid w:val="10A006D6"/>
    <w:rsid w:val="111E3F88"/>
    <w:rsid w:val="117B0D8C"/>
    <w:rsid w:val="11C059FE"/>
    <w:rsid w:val="126805E3"/>
    <w:rsid w:val="13486A44"/>
    <w:rsid w:val="14025654"/>
    <w:rsid w:val="15264CBF"/>
    <w:rsid w:val="154F1E94"/>
    <w:rsid w:val="16F41830"/>
    <w:rsid w:val="184E235C"/>
    <w:rsid w:val="1861478B"/>
    <w:rsid w:val="199675CB"/>
    <w:rsid w:val="19D62AEB"/>
    <w:rsid w:val="1C0552EF"/>
    <w:rsid w:val="1F4B2B1C"/>
    <w:rsid w:val="1F744A11"/>
    <w:rsid w:val="1FE35A9D"/>
    <w:rsid w:val="227D1A6A"/>
    <w:rsid w:val="22D4654E"/>
    <w:rsid w:val="2302577A"/>
    <w:rsid w:val="233F67E5"/>
    <w:rsid w:val="24585F8A"/>
    <w:rsid w:val="24791299"/>
    <w:rsid w:val="2522673C"/>
    <w:rsid w:val="285E0D94"/>
    <w:rsid w:val="28B466D5"/>
    <w:rsid w:val="2B326580"/>
    <w:rsid w:val="2CEB6E16"/>
    <w:rsid w:val="2CEF24D2"/>
    <w:rsid w:val="2E4C168F"/>
    <w:rsid w:val="2EDA2905"/>
    <w:rsid w:val="2F590507"/>
    <w:rsid w:val="3063298D"/>
    <w:rsid w:val="30AE7152"/>
    <w:rsid w:val="32302CBB"/>
    <w:rsid w:val="34FF1033"/>
    <w:rsid w:val="357845C8"/>
    <w:rsid w:val="3582297C"/>
    <w:rsid w:val="35F56529"/>
    <w:rsid w:val="36902C8C"/>
    <w:rsid w:val="37413C5B"/>
    <w:rsid w:val="3A4C5C53"/>
    <w:rsid w:val="3B557489"/>
    <w:rsid w:val="3B800BCA"/>
    <w:rsid w:val="3B8E3D53"/>
    <w:rsid w:val="3BB9606B"/>
    <w:rsid w:val="3CF9307F"/>
    <w:rsid w:val="3F2A73B9"/>
    <w:rsid w:val="3F4C7741"/>
    <w:rsid w:val="407F3D56"/>
    <w:rsid w:val="41DF1349"/>
    <w:rsid w:val="42826BBD"/>
    <w:rsid w:val="4323576D"/>
    <w:rsid w:val="43AD45FA"/>
    <w:rsid w:val="44232A2A"/>
    <w:rsid w:val="453D73B4"/>
    <w:rsid w:val="459477F8"/>
    <w:rsid w:val="45CC0D3E"/>
    <w:rsid w:val="47BA35E5"/>
    <w:rsid w:val="4891649C"/>
    <w:rsid w:val="4A6E4C99"/>
    <w:rsid w:val="4C5A7974"/>
    <w:rsid w:val="4D230965"/>
    <w:rsid w:val="4D7730A2"/>
    <w:rsid w:val="4D7F4ABB"/>
    <w:rsid w:val="4DE04FD5"/>
    <w:rsid w:val="4DEE718D"/>
    <w:rsid w:val="4F2A2676"/>
    <w:rsid w:val="4F365D17"/>
    <w:rsid w:val="50312CB0"/>
    <w:rsid w:val="50A3118B"/>
    <w:rsid w:val="50FB0216"/>
    <w:rsid w:val="51A45803"/>
    <w:rsid w:val="55A02B68"/>
    <w:rsid w:val="55EC48B5"/>
    <w:rsid w:val="562A0DFF"/>
    <w:rsid w:val="56976FEA"/>
    <w:rsid w:val="581A1D83"/>
    <w:rsid w:val="5A985CB8"/>
    <w:rsid w:val="5AFC7DBC"/>
    <w:rsid w:val="5B561001"/>
    <w:rsid w:val="5B610C19"/>
    <w:rsid w:val="5C544627"/>
    <w:rsid w:val="5D2E0FD1"/>
    <w:rsid w:val="5EC87CBD"/>
    <w:rsid w:val="5ED61731"/>
    <w:rsid w:val="60EE4BCF"/>
    <w:rsid w:val="62013474"/>
    <w:rsid w:val="641A2E9A"/>
    <w:rsid w:val="650A2CA9"/>
    <w:rsid w:val="65C72653"/>
    <w:rsid w:val="66BB6DD6"/>
    <w:rsid w:val="66CA7019"/>
    <w:rsid w:val="67BE5471"/>
    <w:rsid w:val="68D344D8"/>
    <w:rsid w:val="6A983B61"/>
    <w:rsid w:val="6C105AE9"/>
    <w:rsid w:val="6D8F68C7"/>
    <w:rsid w:val="6E0F71FC"/>
    <w:rsid w:val="70120D6A"/>
    <w:rsid w:val="713C5FD5"/>
    <w:rsid w:val="715E6CDC"/>
    <w:rsid w:val="71A0197C"/>
    <w:rsid w:val="71E116BB"/>
    <w:rsid w:val="75DF4163"/>
    <w:rsid w:val="75E11C8A"/>
    <w:rsid w:val="76375D4D"/>
    <w:rsid w:val="776D2980"/>
    <w:rsid w:val="794B7879"/>
    <w:rsid w:val="795D31F5"/>
    <w:rsid w:val="79935D20"/>
    <w:rsid w:val="79F90F71"/>
    <w:rsid w:val="7ADB75EF"/>
    <w:rsid w:val="7AFE508C"/>
    <w:rsid w:val="7B4E6536"/>
    <w:rsid w:val="7D8A542E"/>
    <w:rsid w:val="7DEF5412"/>
    <w:rsid w:val="7E137128"/>
    <w:rsid w:val="7E7A13E0"/>
    <w:rsid w:val="7F256311"/>
    <w:rsid w:val="7FA5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Default Paragraph Font1f3ffb4b1f3ffb4b"/>
    <w:basedOn w:val="5"/>
    <w:qFormat/>
    <w:uiPriority w:val="0"/>
  </w:style>
  <w:style w:type="character" w:customStyle="1" w:styleId="7">
    <w:name w:val="Default Paragraph Font3a83b0443a83b044"/>
    <w:basedOn w:val="5"/>
    <w:qFormat/>
    <w:uiPriority w:val="0"/>
  </w:style>
  <w:style w:type="character" w:customStyle="1" w:styleId="8">
    <w:name w:val="Default Paragraph Fontc582baa6c582baa6"/>
    <w:basedOn w:val="5"/>
    <w:qFormat/>
    <w:uiPriority w:val="0"/>
  </w:style>
  <w:style w:type="character" w:customStyle="1" w:styleId="9">
    <w:name w:val="Default Paragraph Font502b8308502b8308"/>
    <w:basedOn w:val="5"/>
    <w:qFormat/>
    <w:uiPriority w:val="0"/>
  </w:style>
  <w:style w:type="character" w:customStyle="1" w:styleId="10">
    <w:name w:val="Default Paragraph Font1326a5c61326a5c6"/>
    <w:basedOn w:val="5"/>
    <w:qFormat/>
    <w:uiPriority w:val="0"/>
  </w:style>
  <w:style w:type="character" w:customStyle="1" w:styleId="11">
    <w:name w:val="Default Paragraph Fontcab8bd9ccab8bd9c"/>
    <w:basedOn w:val="5"/>
    <w:qFormat/>
    <w:uiPriority w:val="0"/>
  </w:style>
  <w:style w:type="character" w:customStyle="1" w:styleId="12">
    <w:name w:val="Default Paragraph Fontba155242ba155242"/>
    <w:basedOn w:val="5"/>
    <w:qFormat/>
    <w:uiPriority w:val="0"/>
  </w:style>
  <w:style w:type="character" w:customStyle="1" w:styleId="13">
    <w:name w:val="Default Paragraph Font9dde63f09dde63f0"/>
    <w:basedOn w:val="5"/>
    <w:qFormat/>
    <w:uiPriority w:val="0"/>
  </w:style>
  <w:style w:type="character" w:customStyle="1" w:styleId="14">
    <w:name w:val="Default Paragraph Fontf3bd4313f3bd4313"/>
    <w:basedOn w:val="5"/>
    <w:qFormat/>
    <w:uiPriority w:val="0"/>
  </w:style>
  <w:style w:type="character" w:customStyle="1" w:styleId="15">
    <w:name w:val="Default Paragraph Fontd602ba24d602ba24"/>
    <w:basedOn w:val="5"/>
    <w:qFormat/>
    <w:uiPriority w:val="0"/>
  </w:style>
  <w:style w:type="character" w:customStyle="1" w:styleId="16">
    <w:name w:val="Default Paragraph Font0828ef8f0828ef8f"/>
    <w:basedOn w:val="5"/>
    <w:qFormat/>
    <w:uiPriority w:val="0"/>
  </w:style>
  <w:style w:type="character" w:customStyle="1" w:styleId="17">
    <w:name w:val="Default Paragraph Font7cb37d617cb37d61"/>
    <w:basedOn w:val="5"/>
    <w:qFormat/>
    <w:uiPriority w:val="0"/>
  </w:style>
  <w:style w:type="character" w:customStyle="1" w:styleId="18">
    <w:name w:val="Default Paragraph Fontf356ba61f356ba61"/>
    <w:basedOn w:val="5"/>
    <w:qFormat/>
    <w:uiPriority w:val="0"/>
  </w:style>
  <w:style w:type="character" w:customStyle="1" w:styleId="19">
    <w:name w:val="Default Paragraph Fontb2c766d2b2c766d2"/>
    <w:basedOn w:val="5"/>
    <w:qFormat/>
    <w:uiPriority w:val="0"/>
  </w:style>
  <w:style w:type="character" w:customStyle="1" w:styleId="20">
    <w:name w:val="Default Paragraph Fontfbf28d4efbf28d4e"/>
    <w:basedOn w:val="5"/>
    <w:qFormat/>
    <w:uiPriority w:val="0"/>
  </w:style>
  <w:style w:type="character" w:customStyle="1" w:styleId="21">
    <w:name w:val="Default Paragraph Font03b55b6d03b55b6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284</Characters>
  <Lines>0</Lines>
  <Paragraphs>0</Paragraphs>
  <TotalTime>9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2023-05-31T00:51:00Z</dcterms:created>
  <dc:creator>钱哲贤</dc:creator>
  <cp:lastModifiedBy>PC</cp:lastModifiedBy>
  <cp:lastPrinted>2023-06-01T09:12:00Z</cp:lastPrinted>
  <dcterms:modified xsi:type="dcterms:W3CDTF">2025-10-31T06:05:02Z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B4363E5BB1BA4E76A172F6764FDC033F</vt:lpwstr>
  </property>
</Properties>
</file>