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光大理财“</w:t>
      </w:r>
      <w:r>
        <w:rPr>
          <w:rFonts w:hint="eastAsia" w:ascii="黑体" w:hAnsi="黑体" w:eastAsia="黑体" w:cs="黑体"/>
          <w:b/>
          <w:bCs/>
          <w:color w:val="000000"/>
          <w:sz w:val="36"/>
          <w:szCs w:val="36"/>
          <w:lang w:eastAsia="zh-CN"/>
        </w:rPr>
        <w:t>阳光金增利稳健天天购3号（7天最低持有）</w:t>
      </w:r>
      <w:r>
        <w:rPr>
          <w:rFonts w:hint="eastAsia" w:ascii="黑体" w:hAnsi="黑体" w:eastAsia="黑体" w:cs="黑体"/>
          <w:b/>
          <w:bCs/>
          <w:color w:val="000000"/>
          <w:sz w:val="36"/>
          <w:szCs w:val="36"/>
        </w:rPr>
        <w:t>”理财产品风险揭示书</w:t>
      </w:r>
    </w:p>
    <w:p>
      <w:pPr>
        <w:spacing w:line="360" w:lineRule="auto"/>
        <w:rPr>
          <w:rFonts w:ascii="宋体" w:hAnsi="宋体" w:cs="宋体"/>
          <w:color w:val="000000"/>
        </w:rPr>
      </w:pPr>
      <w:r>
        <w:rPr>
          <w:rFonts w:hint="eastAsia" w:ascii="宋体" w:hAnsi="宋体" w:cs="宋体"/>
          <w:color w:val="000000"/>
        </w:rPr>
        <w:t>尊敬的投资者：</w:t>
      </w:r>
    </w:p>
    <w:p>
      <w:pPr>
        <w:spacing w:line="360" w:lineRule="auto"/>
        <w:ind w:firstLine="420" w:firstLineChars="200"/>
        <w:rPr>
          <w:rFonts w:ascii="宋体" w:hAnsi="宋体" w:cs="宋体"/>
          <w:color w:val="000000"/>
        </w:rPr>
      </w:pPr>
      <w:r>
        <w:rPr>
          <w:rFonts w:hint="eastAsia" w:ascii="宋体" w:hAnsi="宋体" w:cs="宋体"/>
          <w:color w:val="000000"/>
        </w:rPr>
        <w:t>由于理财资金在管理运用过程中可能面临多种风险因素，根据国家金融监督管理总局等监管机构（以下简称“监管机构”）相关监管规定，</w:t>
      </w:r>
      <w:r>
        <w:rPr>
          <w:rFonts w:ascii="宋体" w:hAnsi="宋体" w:cs="宋体"/>
          <w:b/>
          <w:bCs/>
          <w:color w:val="000000"/>
          <w:u w:val="single"/>
        </w:rPr>
        <w:t>光大理财有限责任公司（以下简称“光大理财”）作为本理财产品的产品管理人郑重提示您：在您选择购买理财产品前，请仔细阅读本理财产品完整</w:t>
      </w:r>
      <w:r>
        <w:rPr>
          <w:rFonts w:hint="eastAsia" w:ascii="宋体" w:hAnsi="宋体" w:cs="宋体"/>
          <w:b/>
          <w:bCs/>
          <w:color w:val="000000"/>
          <w:u w:val="single"/>
        </w:rPr>
        <w:t>销售文件，</w:t>
      </w:r>
      <w:r>
        <w:rPr>
          <w:rFonts w:ascii="宋体" w:hAnsi="宋体" w:cs="宋体"/>
          <w:b/>
          <w:bCs/>
          <w:color w:val="000000"/>
          <w:u w:val="single"/>
        </w:rPr>
        <w:t>包括</w:t>
      </w:r>
      <w:r>
        <w:rPr>
          <w:rFonts w:hint="eastAsia" w:ascii="宋体" w:hAnsi="宋体" w:cs="宋体"/>
          <w:b/>
          <w:bCs/>
          <w:color w:val="000000"/>
          <w:u w:val="single"/>
        </w:rPr>
        <w:t>理财产品投资协议书、销售（代理销售）协议书、理财产品说明书、风险揭示书、投资者权益须知等</w:t>
      </w:r>
      <w:r>
        <w:rPr>
          <w:rFonts w:ascii="宋体" w:hAnsi="宋体" w:cs="宋体"/>
          <w:b/>
          <w:bCs/>
          <w:color w:val="000000"/>
          <w:u w:val="single"/>
        </w:rPr>
        <w:t>，了解理财产品具体情况；在您购买理财产品后，请关注本理财产品的信息披露，及时获取相关信息。</w:t>
      </w:r>
    </w:p>
    <w:p>
      <w:pPr>
        <w:spacing w:line="360" w:lineRule="auto"/>
        <w:ind w:firstLine="420"/>
        <w:outlineLvl w:val="0"/>
        <w:rPr>
          <w:rFonts w:ascii="宋体" w:hAnsi="宋体"/>
          <w:b/>
          <w:bCs/>
          <w:color w:val="000000"/>
        </w:rPr>
      </w:pPr>
      <w:r>
        <w:rPr>
          <w:rFonts w:hint="eastAsia" w:ascii="宋体" w:hAnsi="宋体"/>
          <w:b/>
          <w:bCs/>
          <w:color w:val="000000"/>
        </w:rPr>
        <w:t>一、风险揭示</w:t>
      </w:r>
    </w:p>
    <w:p>
      <w:pPr>
        <w:spacing w:line="360" w:lineRule="auto"/>
        <w:ind w:firstLine="420" w:firstLineChars="200"/>
        <w:rPr>
          <w:rFonts w:ascii="宋体" w:hAnsi="宋体" w:cs="宋体"/>
          <w:color w:val="000000"/>
        </w:rPr>
      </w:pPr>
      <w:r>
        <w:rPr>
          <w:rFonts w:hint="eastAsia" w:ascii="宋体" w:hAnsi="宋体" w:cs="宋体"/>
          <w:color w:val="000000"/>
        </w:rPr>
        <w:t>请投资者根据自身理财目标、投资经验、财务状况、风险承受能力以及其他相关情况慎重考虑购买理财产品。本风险揭示书列示的风险指理财产品项下可能涉及的风险，包括但不限于：</w:t>
      </w:r>
    </w:p>
    <w:p>
      <w:pPr>
        <w:spacing w:line="360" w:lineRule="auto"/>
        <w:ind w:firstLine="422" w:firstLineChars="200"/>
        <w:rPr>
          <w:rFonts w:ascii="宋体" w:hAnsi="宋体" w:cs="宋体"/>
          <w:color w:val="000000"/>
        </w:rPr>
      </w:pPr>
      <w:r>
        <w:rPr>
          <w:rFonts w:hint="eastAsia" w:ascii="宋体" w:hAnsi="宋体" w:cs="宋体"/>
          <w:b/>
          <w:bCs/>
          <w:color w:val="000000"/>
        </w:rPr>
        <w:t>1.政策风险：</w:t>
      </w:r>
      <w:r>
        <w:rPr>
          <w:rFonts w:hint="eastAsia" w:ascii="宋体" w:hAnsi="宋体" w:cs="宋体"/>
          <w:color w:val="000000"/>
        </w:rPr>
        <w:t>本理财产品是根据当前的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spacing w:line="360" w:lineRule="auto"/>
        <w:ind w:firstLine="422" w:firstLineChars="200"/>
        <w:rPr>
          <w:rFonts w:ascii="宋体" w:hAnsi="宋体" w:cs="宋体"/>
          <w:color w:val="000000"/>
        </w:rPr>
      </w:pPr>
      <w:r>
        <w:rPr>
          <w:rFonts w:hint="eastAsia" w:ascii="宋体" w:hAnsi="宋体" w:cs="宋体"/>
          <w:b/>
          <w:bCs/>
          <w:color w:val="000000"/>
        </w:rPr>
        <w:t>2.信用风险：</w:t>
      </w:r>
      <w:r>
        <w:rPr>
          <w:rFonts w:hint="eastAsia" w:ascii="宋体" w:hAnsi="宋体" w:cs="宋体"/>
          <w:color w:val="000000"/>
        </w:rPr>
        <w:t>投资者面临本理财产品所投资的资产或资产组合项下义务人可能出现信用违约情形，则投资者可能面临本金和收益遭受部分甚至全部损失的风险。</w:t>
      </w:r>
    </w:p>
    <w:p>
      <w:pPr>
        <w:spacing w:line="360" w:lineRule="auto"/>
        <w:ind w:firstLine="422" w:firstLineChars="200"/>
        <w:rPr>
          <w:rFonts w:ascii="宋体" w:hAnsi="宋体" w:cs="宋体"/>
          <w:color w:val="000000"/>
        </w:rPr>
      </w:pPr>
      <w:r>
        <w:rPr>
          <w:rFonts w:hint="eastAsia" w:ascii="宋体" w:hAnsi="宋体" w:cs="宋体"/>
          <w:b/>
          <w:bCs/>
          <w:color w:val="000000"/>
        </w:rPr>
        <w:t>3.市场风险：</w:t>
      </w:r>
      <w:r>
        <w:rPr>
          <w:rFonts w:hint="eastAsia" w:ascii="宋体" w:hAnsi="宋体" w:cs="宋体"/>
          <w:color w:val="000000"/>
        </w:rPr>
        <w:t>在理财产品销售文件约定的投资范围内，产品可能面临国家政策、经济周期、利率、汇率等因素发生变化。受以上情况及未来可能出现的其他重要市场因素变化的影响，本理财产品所投资的资产或资产组合价值可能出现波动，从而影响本理财产品的收益，则投资者可能面临本金和收益遭受部分甚至全部损失的风险。</w:t>
      </w:r>
    </w:p>
    <w:p>
      <w:pPr>
        <w:spacing w:line="360" w:lineRule="auto"/>
        <w:ind w:firstLine="422" w:firstLineChars="200"/>
        <w:rPr>
          <w:rFonts w:ascii="宋体" w:hAnsi="宋体" w:cs="宋体"/>
          <w:color w:val="000000"/>
        </w:rPr>
      </w:pPr>
      <w:r>
        <w:rPr>
          <w:rFonts w:hint="eastAsia" w:ascii="宋体" w:hAnsi="宋体" w:cs="宋体"/>
          <w:b/>
          <w:bCs/>
          <w:color w:val="000000"/>
        </w:rPr>
        <w:t>4.流动性风险：</w:t>
      </w:r>
      <w:r>
        <w:rPr>
          <w:rFonts w:hint="eastAsia" w:ascii="宋体" w:hAnsi="宋体" w:cs="宋体"/>
          <w:color w:val="000000"/>
        </w:rPr>
        <w:t>本理财产品可能无法通过变现资产等途径以合理成本及时获得充足资金，用于满足该理财产品的投资者赎回需求或履行其他支付义务。若在开放日发生巨额赎回，产品管理人可以根据本理财产品当时的资产组合状况决定接受全额赎回或部分延期赎回；投资者在本理财产品的暂停赎回日（若有，以公告披露为准）以及最低持有期内无提前终止权或赎回权。上述情况将导致投资者在需要资金时不能随时变现，并在本理财产品的理财期限内使投资者丧失其他投资机会。</w:t>
      </w:r>
    </w:p>
    <w:p>
      <w:pPr>
        <w:spacing w:line="360" w:lineRule="auto"/>
        <w:ind w:firstLine="420" w:firstLineChars="200"/>
        <w:rPr>
          <w:rFonts w:ascii="宋体" w:hAnsi="宋体" w:cs="宋体"/>
          <w:color w:val="000000"/>
        </w:rPr>
      </w:pPr>
      <w:r>
        <w:rPr>
          <w:rFonts w:hint="eastAsia" w:ascii="宋体" w:hAnsi="宋体" w:cs="宋体"/>
          <w:color w:val="000000"/>
        </w:rPr>
        <w:t>在本理财产品销售文件约定的投资范围内，产品整体流动性风险可控，但不排除因市场交易量不足、金融资产不能及时变现或无法按照正常的市场价格交易等情形导致流动性风险。本产品管理人将定期评估投资组合的流动性风险水平，使得流动性资产配置比例保持在适当水平下，综合平衡投资收益和可能出现的投资者赎回需求。</w:t>
      </w:r>
    </w:p>
    <w:p>
      <w:pPr>
        <w:spacing w:line="360" w:lineRule="auto"/>
        <w:ind w:firstLine="422" w:firstLineChars="200"/>
        <w:rPr>
          <w:rFonts w:ascii="宋体" w:hAnsi="宋体" w:cs="宋体"/>
          <w:color w:val="000000"/>
        </w:rPr>
      </w:pPr>
      <w:r>
        <w:rPr>
          <w:rFonts w:hint="eastAsia" w:ascii="宋体" w:hAnsi="宋体" w:cs="宋体"/>
          <w:b/>
          <w:bCs/>
          <w:color w:val="000000"/>
        </w:rPr>
        <w:t>5.管理风险：</w:t>
      </w:r>
      <w:r>
        <w:rPr>
          <w:rFonts w:hint="eastAsia" w:ascii="宋体" w:hAnsi="宋体" w:cs="宋体"/>
          <w:color w:val="000000"/>
        </w:rPr>
        <w:t>在本理财产品运作过程中，投资管理各方受经验、技能、执行力等综合因素的限制，可能会对本理财产品的运作和管理造成一定影响，则投资者可能面临本金和收益遭受部分甚至全部损失的风险。</w:t>
      </w:r>
    </w:p>
    <w:p>
      <w:pPr>
        <w:spacing w:line="360" w:lineRule="auto"/>
        <w:ind w:firstLine="422" w:firstLineChars="200"/>
        <w:rPr>
          <w:rFonts w:ascii="宋体" w:hAnsi="宋体" w:cs="宋体"/>
          <w:szCs w:val="21"/>
        </w:rPr>
      </w:pPr>
      <w:r>
        <w:rPr>
          <w:rFonts w:hint="eastAsia" w:ascii="宋体" w:hAnsi="宋体" w:cs="宋体"/>
          <w:b/>
          <w:bCs/>
          <w:szCs w:val="21"/>
        </w:rPr>
        <w:t>6.操作风险：</w:t>
      </w:r>
      <w:r>
        <w:rPr>
          <w:rFonts w:hint="eastAsia" w:ascii="宋体" w:hAnsi="宋体" w:cs="宋体"/>
          <w:szCs w:val="21"/>
        </w:rPr>
        <w:t>如本理财产品管理人由于内部作业、人员管理、系统操作及事务处理不当或失误等，则投资者可能面临本金和收益遭受部分甚至全部损失的风险。</w:t>
      </w:r>
    </w:p>
    <w:p>
      <w:pPr>
        <w:spacing w:line="360" w:lineRule="auto"/>
        <w:ind w:firstLine="422" w:firstLineChars="200"/>
        <w:rPr>
          <w:rFonts w:ascii="宋体" w:hAnsi="宋体" w:cs="宋体"/>
          <w:szCs w:val="21"/>
        </w:rPr>
      </w:pPr>
      <w:r>
        <w:rPr>
          <w:rFonts w:hint="eastAsia" w:ascii="宋体" w:hAnsi="宋体" w:cs="宋体"/>
          <w:b/>
          <w:bCs/>
          <w:szCs w:val="21"/>
        </w:rPr>
        <w:t>7.产品不成立风险：</w:t>
      </w:r>
      <w:r>
        <w:rPr>
          <w:rFonts w:hint="eastAsia" w:ascii="宋体" w:hAnsi="宋体" w:cs="宋体"/>
          <w:szCs w:val="21"/>
        </w:rPr>
        <w:t>如果因募集规模低于理财产品说明书约定的最低规模或其他因素导致本理财产品不能成立的情形，产品管理人有权宣布本理财产品不成立，投资者将面临产品不成立再投资的风险。</w:t>
      </w:r>
    </w:p>
    <w:p>
      <w:pPr>
        <w:spacing w:line="360" w:lineRule="auto"/>
        <w:ind w:firstLine="422" w:firstLineChars="200"/>
        <w:rPr>
          <w:rFonts w:ascii="宋体" w:hAnsi="宋体" w:cs="宋体"/>
          <w:szCs w:val="21"/>
        </w:rPr>
      </w:pPr>
      <w:r>
        <w:rPr>
          <w:rFonts w:hint="eastAsia" w:ascii="宋体" w:hAnsi="宋体" w:cs="宋体"/>
          <w:b/>
          <w:bCs/>
          <w:szCs w:val="21"/>
        </w:rPr>
        <w:t>8.兑付延期风险：</w:t>
      </w:r>
      <w:r>
        <w:rPr>
          <w:rFonts w:hint="eastAsia" w:ascii="宋体" w:hAnsi="宋体" w:cs="宋体"/>
          <w:szCs w:val="21"/>
        </w:rPr>
        <w:t>因缺乏意愿交易对手、市场成交量不足、资产限制赎回、暂停交易、所投资产发生风险或不能及时变现、发生不可抗力（包括但不限于政府行为、自然灾害、疫情等），及其他产品管理人认为需要延期兑付的情形，可能引发产品管理人不能按时支付清算资金，从而致使投资者可能面临产品兑付延期、兑付方案调整等风险，投资者由此可能面临本金和收益遭受部分甚至全部损失的风险。</w:t>
      </w:r>
    </w:p>
    <w:p>
      <w:pPr>
        <w:spacing w:line="360" w:lineRule="auto"/>
        <w:ind w:firstLine="422" w:firstLineChars="200"/>
        <w:rPr>
          <w:rFonts w:ascii="宋体" w:hAnsi="宋体" w:cs="宋体"/>
          <w:szCs w:val="21"/>
        </w:rPr>
      </w:pPr>
      <w:r>
        <w:rPr>
          <w:rFonts w:hint="eastAsia" w:ascii="宋体" w:hAnsi="宋体" w:cs="宋体"/>
          <w:b/>
          <w:bCs/>
          <w:szCs w:val="21"/>
        </w:rPr>
        <w:t>9.提前终止风险：</w:t>
      </w:r>
      <w:r>
        <w:rPr>
          <w:rFonts w:hint="eastAsia" w:ascii="宋体" w:hAnsi="宋体" w:cs="宋体"/>
          <w:szCs w:val="21"/>
        </w:rPr>
        <w:t>为保护投资者利益，在本理财产品存续期间，产品管理人可根据本理财产品说明书约定的情况提前终止本理财产品。同时，由于</w:t>
      </w:r>
      <w:r>
        <w:rPr>
          <w:rFonts w:ascii="宋体" w:hAnsi="宋体" w:cs="宋体"/>
          <w:szCs w:val="21"/>
        </w:rPr>
        <w:t>不可抗力及/或意外事件导致产品管理人无法继续履行理财产品</w:t>
      </w:r>
      <w:r>
        <w:rPr>
          <w:rFonts w:hint="eastAsia" w:ascii="宋体" w:hAnsi="宋体" w:cs="宋体"/>
          <w:szCs w:val="21"/>
        </w:rPr>
        <w:t>销售文件约定</w:t>
      </w:r>
      <w:r>
        <w:rPr>
          <w:rFonts w:ascii="宋体" w:hAnsi="宋体" w:cs="宋体"/>
          <w:szCs w:val="21"/>
        </w:rPr>
        <w:t>的，产品管理人有权提前</w:t>
      </w:r>
      <w:r>
        <w:rPr>
          <w:rFonts w:hint="eastAsia" w:ascii="宋体" w:hAnsi="宋体" w:cs="宋体"/>
          <w:szCs w:val="21"/>
        </w:rPr>
        <w:t>终止部分或全部</w:t>
      </w:r>
      <w:r>
        <w:rPr>
          <w:rFonts w:ascii="宋体" w:hAnsi="宋体" w:cs="宋体"/>
          <w:szCs w:val="21"/>
        </w:rPr>
        <w:t>理财产品</w:t>
      </w:r>
      <w:r>
        <w:rPr>
          <w:rFonts w:hint="eastAsia" w:ascii="宋体" w:hAnsi="宋体" w:cs="宋体"/>
          <w:szCs w:val="21"/>
        </w:rPr>
        <w:t>销售文件</w:t>
      </w:r>
      <w:r>
        <w:rPr>
          <w:rFonts w:ascii="宋体" w:hAnsi="宋体" w:cs="宋体"/>
          <w:szCs w:val="21"/>
        </w:rPr>
        <w:t>，并将发生不可抗力及/或意外事件后剩余的投资者应得理财资金划付至投资者清算账户</w:t>
      </w:r>
      <w:r>
        <w:rPr>
          <w:rFonts w:hint="eastAsia" w:ascii="宋体" w:hAnsi="宋体" w:cs="宋体"/>
          <w:szCs w:val="21"/>
        </w:rPr>
        <w:t>。此外，如国家宏观政策、市场相关法律、行政法规或政策等发生变化，可能导致理财产品提前终止</w:t>
      </w:r>
      <w:r>
        <w:rPr>
          <w:rFonts w:hint="eastAsia" w:ascii="宋体" w:hAnsi="宋体" w:cs="宋体"/>
          <w:color w:val="000000"/>
          <w:szCs w:val="21"/>
        </w:rPr>
        <w:t>。上述情况下，</w:t>
      </w:r>
      <w:r>
        <w:rPr>
          <w:rFonts w:hint="eastAsia" w:ascii="宋体" w:hAnsi="宋体" w:cs="宋体"/>
          <w:szCs w:val="21"/>
        </w:rPr>
        <w:t>投资者可能面临产品提前终止后再投资的风险。</w:t>
      </w:r>
    </w:p>
    <w:p>
      <w:pPr>
        <w:spacing w:line="360" w:lineRule="auto"/>
        <w:ind w:firstLine="422" w:firstLineChars="200"/>
        <w:rPr>
          <w:rFonts w:ascii="宋体" w:hAnsi="宋体" w:cs="宋体"/>
          <w:szCs w:val="21"/>
        </w:rPr>
      </w:pPr>
      <w:r>
        <w:rPr>
          <w:rFonts w:hint="eastAsia" w:ascii="宋体" w:hAnsi="宋体" w:cs="宋体"/>
          <w:b/>
          <w:bCs/>
          <w:szCs w:val="21"/>
        </w:rPr>
        <w:t>10.信息传递风险：</w:t>
      </w:r>
      <w:r>
        <w:rPr>
          <w:rFonts w:hint="eastAsia" w:ascii="宋体" w:hAnsi="宋体" w:cs="宋体"/>
          <w:szCs w:val="21"/>
        </w:rPr>
        <w:t>产品管理人将按照本理财产品销售文件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而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spacing w:line="360" w:lineRule="auto"/>
        <w:ind w:firstLine="422" w:firstLineChars="200"/>
        <w:rPr>
          <w:rFonts w:ascii="仿宋_GB2312" w:hAnsi="仿宋_GB2312" w:eastAsia="仿宋_GB2312"/>
          <w:color w:val="000000"/>
          <w:sz w:val="24"/>
        </w:rPr>
      </w:pPr>
      <w:r>
        <w:rPr>
          <w:rFonts w:hint="eastAsia" w:ascii="宋体" w:hAnsi="宋体" w:cs="宋体"/>
          <w:b/>
          <w:bCs/>
          <w:szCs w:val="21"/>
        </w:rPr>
        <w:t>11.销售风险：</w:t>
      </w:r>
      <w:r>
        <w:rPr>
          <w:rFonts w:hint="eastAsia" w:ascii="宋体" w:hAnsi="宋体" w:cs="宋体"/>
          <w:szCs w:val="21"/>
        </w:rPr>
        <w:t>本理财产品通过销售渠道销售，投资者认/申购理财产品的资金由销售服务机构从投资者资金账户扣收；份额赎回时，赎回资金按本理财产品销售文件约定划付至销售服务机构清算账户后，由销售服务机构向投资者划付投资者应得赎回资金。如因投资者资金账户余额不足，或销售服务机构未及时足额划付资金，或销售服务机构清算账户内资金被依法冻结或扣划，或销售服务机构清算账户处于被挂失、冻结、注销或其他非正常状态等原因而导致交易失败，对于因上述原因导致的交易失败可能带来的任何损失及预期损失，投资者须自行承担或向销售服务机构依法主张。</w:t>
      </w:r>
    </w:p>
    <w:p>
      <w:pPr>
        <w:spacing w:line="360" w:lineRule="auto"/>
        <w:ind w:firstLine="422" w:firstLineChars="200"/>
        <w:rPr>
          <w:rFonts w:ascii="宋体" w:hAnsi="宋体" w:cs="宋体"/>
          <w:b/>
          <w:szCs w:val="21"/>
        </w:rPr>
      </w:pPr>
      <w:r>
        <w:rPr>
          <w:rFonts w:ascii="宋体" w:hAnsi="宋体"/>
          <w:b/>
          <w:bCs/>
        </w:rPr>
        <w:t>1</w:t>
      </w:r>
      <w:r>
        <w:rPr>
          <w:rFonts w:hint="eastAsia" w:ascii="宋体" w:hAnsi="宋体"/>
          <w:b/>
          <w:bCs/>
        </w:rPr>
        <w:t>2</w:t>
      </w:r>
      <w:r>
        <w:rPr>
          <w:rFonts w:ascii="宋体" w:hAnsi="宋体"/>
          <w:b/>
          <w:bCs/>
        </w:rPr>
        <w:t>.</w:t>
      </w:r>
      <w:r>
        <w:rPr>
          <w:rFonts w:hint="eastAsia" w:ascii="宋体" w:hAnsi="宋体"/>
          <w:b/>
          <w:bCs/>
        </w:rPr>
        <w:t>关联关系及关联交易风险：</w:t>
      </w:r>
      <w:r>
        <w:rPr>
          <w:rFonts w:hint="eastAsia" w:ascii="宋体" w:hAnsi="宋体"/>
          <w:b/>
          <w:bCs/>
          <w:color w:val="000000"/>
        </w:rPr>
        <w:t>本理财</w:t>
      </w:r>
      <w:r>
        <w:rPr>
          <w:rFonts w:ascii="宋体" w:hAnsi="宋体"/>
          <w:b/>
          <w:bCs/>
          <w:color w:val="000000"/>
        </w:rPr>
        <w:t>产品由</w:t>
      </w:r>
      <w:r>
        <w:rPr>
          <w:rFonts w:hint="eastAsia" w:ascii="宋体" w:hAnsi="宋体"/>
          <w:b/>
          <w:bCs/>
          <w:color w:val="000000"/>
        </w:rPr>
        <w:t>光大理财发行</w:t>
      </w:r>
      <w:r>
        <w:rPr>
          <w:rFonts w:ascii="宋体" w:hAnsi="宋体"/>
          <w:b/>
          <w:bCs/>
          <w:color w:val="000000"/>
        </w:rPr>
        <w:t>并作为管理人，独立履行产品管理职责，</w:t>
      </w:r>
      <w:r>
        <w:rPr>
          <w:rFonts w:hint="eastAsia" w:ascii="宋体" w:hAnsi="宋体"/>
          <w:b/>
          <w:bCs/>
          <w:color w:val="000000"/>
        </w:rPr>
        <w:t>光大理财委托销售服务机构销售理财产品的，可能涉及委托</w:t>
      </w:r>
      <w:r>
        <w:rPr>
          <w:rFonts w:ascii="宋体" w:hAnsi="宋体"/>
          <w:b/>
          <w:bCs/>
          <w:color w:val="000000"/>
        </w:rPr>
        <w:t>中国光大银行股份有限公司（以下简称“光大银行”）</w:t>
      </w:r>
      <w:r>
        <w:rPr>
          <w:rFonts w:hint="eastAsia" w:ascii="宋体" w:hAnsi="宋体"/>
          <w:b/>
          <w:bCs/>
          <w:color w:val="000000"/>
        </w:rPr>
        <w:t>作为理财产品的销售服务机构，</w:t>
      </w:r>
      <w:r>
        <w:rPr>
          <w:rFonts w:ascii="宋体" w:hAnsi="宋体"/>
          <w:b/>
          <w:bCs/>
          <w:color w:val="000000"/>
        </w:rPr>
        <w:t>负责理财产品的代理销售工作</w:t>
      </w:r>
      <w:r>
        <w:rPr>
          <w:rFonts w:hint="eastAsia" w:ascii="宋体" w:hAnsi="宋体"/>
          <w:b/>
          <w:bCs/>
          <w:color w:val="000000"/>
        </w:rPr>
        <w:t>。光大理财是光大银行控股的子公司，二者互为关联方，可能出现关联交易行为。尽管光大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w:t>
      </w:r>
    </w:p>
    <w:p>
      <w:pPr>
        <w:spacing w:line="360" w:lineRule="auto"/>
        <w:ind w:firstLine="422" w:firstLineChars="200"/>
        <w:rPr>
          <w:rFonts w:ascii="宋体" w:hAnsi="宋体"/>
          <w:color w:val="000000"/>
        </w:rPr>
      </w:pPr>
      <w:r>
        <w:rPr>
          <w:rFonts w:hint="eastAsia" w:ascii="宋体" w:hAnsi="宋体" w:cs="宋体"/>
          <w:b/>
          <w:szCs w:val="21"/>
        </w:rPr>
        <w:t>13.</w:t>
      </w:r>
      <w:r>
        <w:rPr>
          <w:rFonts w:hint="eastAsia" w:ascii="宋体" w:hAnsi="宋体"/>
          <w:b/>
          <w:bCs/>
          <w:color w:val="000000"/>
        </w:rPr>
        <w:t>投资者合规风险：</w:t>
      </w:r>
      <w:r>
        <w:rPr>
          <w:rFonts w:hint="eastAsia" w:ascii="宋体" w:hAnsi="宋体"/>
          <w:color w:val="000000"/>
        </w:rPr>
        <w:t>根据相关法律法规、监管规定以及与此相匹配的管理人或销售服务机构的风控制度，投资者在投资理财产品时以及理财产品运营过程中，需配合产品管理人或销售服务机构满足包括但不限于反洗钱、反恐怖融资、制裁合规、反电信网络诈骗、非居民金融账户涉税尽职调查等合规要求。为履行上述合规义务，投资者需配合管理人或销售服务机构要求提供、更新身份资料、资金来源等各项所需信息，如遇高风险情形、事件或其他根据法律法规或管理人内控要求需采取相应措施的其他情形，管理人或销售服务机构可能会对相关投资者采取包括但不限于拒绝或暂停接受认购/申购申请、暂停接受赎回申请、冻结份额、提前终止理财产品销售文件等交易限制措施，由此产生的任何损失及责任需由投资者自行承担。</w:t>
      </w:r>
    </w:p>
    <w:p>
      <w:pPr>
        <w:spacing w:line="360" w:lineRule="auto"/>
        <w:ind w:firstLine="422" w:firstLineChars="200"/>
        <w:rPr>
          <w:rFonts w:ascii="宋体" w:hAnsi="宋体" w:cs="宋体"/>
          <w:szCs w:val="21"/>
        </w:rPr>
      </w:pPr>
      <w:r>
        <w:rPr>
          <w:rFonts w:hint="eastAsia" w:ascii="宋体" w:hAnsi="宋体" w:cs="宋体"/>
          <w:b/>
          <w:szCs w:val="21"/>
        </w:rPr>
        <w:t>14.其他风险</w:t>
      </w:r>
      <w:r>
        <w:rPr>
          <w:rFonts w:hint="eastAsia" w:ascii="宋体" w:hAnsi="宋体" w:cs="宋体"/>
          <w:szCs w:val="21"/>
        </w:rPr>
        <w:t>：自然灾害、疫情、严重传染病、金融市场危机、战争等不能预见、不能避免、不能克服的不可抗力因素，及</w:t>
      </w:r>
      <w:r>
        <w:rPr>
          <w:rFonts w:ascii="宋体" w:hAnsi="宋体" w:cs="宋体"/>
          <w:szCs w:val="21"/>
        </w:rPr>
        <w:t>/</w:t>
      </w:r>
      <w:r>
        <w:rPr>
          <w:rFonts w:hint="eastAsia" w:ascii="宋体" w:hAnsi="宋体" w:cs="宋体"/>
          <w:szCs w:val="21"/>
        </w:rPr>
        <w:t>或通讯故障、投资市场停止交易等意外事件</w:t>
      </w:r>
      <w:r>
        <w:rPr>
          <w:rFonts w:ascii="宋体" w:hAnsi="宋体" w:cs="宋体"/>
          <w:szCs w:val="21"/>
        </w:rPr>
        <w:t>非产品管理人所能控制的原因</w:t>
      </w:r>
      <w:r>
        <w:rPr>
          <w:rFonts w:hint="eastAsia" w:ascii="宋体" w:hAnsi="宋体" w:cs="宋体"/>
          <w:szCs w:val="21"/>
        </w:rPr>
        <w:t>发生，可能对本理财产品的受理、成立、投资运作、资金返还、信息披露、公告通知等造成影响，甚至可能导致本理财产品本金和收益率的降低或损失，以及本金或收益延迟支付。对于由不可抗力及</w:t>
      </w:r>
      <w:r>
        <w:rPr>
          <w:rFonts w:ascii="宋体" w:hAnsi="宋体" w:cs="宋体"/>
          <w:szCs w:val="21"/>
        </w:rPr>
        <w:t>/或</w:t>
      </w:r>
      <w:r>
        <w:rPr>
          <w:rFonts w:hint="eastAsia" w:ascii="宋体" w:hAnsi="宋体" w:cs="宋体"/>
          <w:szCs w:val="21"/>
        </w:rPr>
        <w:t>意外事件风险导致的任何损失和延迟支付，投资者须自行承担。</w:t>
      </w:r>
    </w:p>
    <w:p>
      <w:pPr>
        <w:spacing w:line="360" w:lineRule="auto"/>
        <w:ind w:firstLine="422" w:firstLineChars="200"/>
        <w:outlineLvl w:val="0"/>
        <w:rPr>
          <w:rFonts w:ascii="宋体" w:hAnsi="宋体"/>
          <w:b/>
          <w:bCs/>
          <w:color w:val="000000"/>
        </w:rPr>
      </w:pPr>
      <w:r>
        <w:rPr>
          <w:rFonts w:hint="eastAsia" w:ascii="宋体" w:hAnsi="宋体"/>
          <w:b/>
          <w:bCs/>
          <w:color w:val="000000"/>
        </w:rPr>
        <w:t>二、投资者提示</w:t>
      </w:r>
    </w:p>
    <w:p>
      <w:pPr>
        <w:spacing w:line="360" w:lineRule="auto"/>
        <w:ind w:firstLine="422" w:firstLineChars="200"/>
        <w:rPr>
          <w:rFonts w:ascii="宋体" w:hAnsi="宋体" w:cs="宋体"/>
          <w:b/>
          <w:bCs/>
          <w:color w:val="000000"/>
          <w:u w:val="single"/>
        </w:rPr>
      </w:pPr>
      <w:r>
        <w:rPr>
          <w:rFonts w:ascii="宋体" w:hAnsi="宋体" w:cs="宋体"/>
          <w:b/>
          <w:bCs/>
          <w:color w:val="000000"/>
          <w:u w:val="single"/>
        </w:rPr>
        <w:t>1.理财非存款、产品有风险、投资须谨慎。</w:t>
      </w:r>
    </w:p>
    <w:p>
      <w:pPr>
        <w:spacing w:line="360" w:lineRule="auto"/>
        <w:ind w:firstLine="422" w:firstLineChars="200"/>
        <w:rPr>
          <w:rFonts w:ascii="宋体" w:hAnsi="宋体" w:cs="宋体"/>
          <w:b/>
          <w:bCs/>
          <w:color w:val="000000"/>
        </w:rPr>
      </w:pPr>
      <w:r>
        <w:rPr>
          <w:rFonts w:ascii="宋体" w:hAnsi="宋体" w:cs="宋体"/>
          <w:b/>
          <w:bCs/>
          <w:color w:val="000000"/>
        </w:rPr>
        <w:t>2</w:t>
      </w:r>
      <w:r>
        <w:rPr>
          <w:rFonts w:hint="eastAsia" w:ascii="宋体" w:hAnsi="宋体" w:cs="宋体"/>
          <w:b/>
          <w:bCs/>
          <w:color w:val="000000"/>
        </w:rPr>
        <w:t>.本理财产品不保证本金及收益，您的本金可能因市场变动而蒙受相应损失</w:t>
      </w:r>
      <w:r>
        <w:rPr>
          <w:rFonts w:ascii="宋体" w:hAnsi="宋体" w:cs="宋体"/>
          <w:b/>
          <w:bCs/>
          <w:color w:val="000000"/>
        </w:rPr>
        <w:t>。</w:t>
      </w:r>
      <w:r>
        <w:rPr>
          <w:rFonts w:hint="eastAsia" w:ascii="宋体" w:hAnsi="宋体" w:cs="宋体"/>
          <w:b/>
          <w:bCs/>
          <w:color w:val="000000"/>
        </w:rPr>
        <w:t>投资者应充分认识投资风险，谨慎投资。</w:t>
      </w:r>
    </w:p>
    <w:p>
      <w:pPr>
        <w:spacing w:line="360" w:lineRule="auto"/>
        <w:ind w:firstLine="422" w:firstLineChars="200"/>
        <w:rPr>
          <w:rFonts w:ascii="宋体" w:hAnsi="宋体" w:cs="宋体"/>
          <w:b/>
          <w:bCs/>
          <w:color w:val="000000"/>
        </w:rPr>
      </w:pPr>
      <w:r>
        <w:rPr>
          <w:rFonts w:ascii="宋体" w:hAnsi="宋体" w:cs="宋体"/>
          <w:b/>
          <w:bCs/>
          <w:color w:val="000000"/>
        </w:rPr>
        <w:t>3</w:t>
      </w:r>
      <w:r>
        <w:rPr>
          <w:rFonts w:hint="eastAsia" w:ascii="宋体" w:hAnsi="宋体" w:cs="宋体"/>
          <w:b/>
          <w:bCs/>
          <w:color w:val="000000"/>
        </w:rPr>
        <w:t>.本理财产品过往业绩不代表其未来表现，不等于理财产品实际收益，投资须谨慎。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4.本理财产品类型为固定收益类，期限为持续运作,产品管理人对本理财产品的内部风险评级为</w:t>
      </w:r>
      <w:r>
        <w:rPr>
          <w:rFonts w:hint="eastAsia" w:ascii="宋体" w:hAnsi="宋体" w:cs="宋体"/>
          <w:b/>
          <w:bCs/>
          <w:color w:val="000000"/>
          <w:szCs w:val="21"/>
        </w:rPr>
        <w:t>二星级</w:t>
      </w:r>
      <w:r>
        <w:rPr>
          <w:rFonts w:hint="eastAsia" w:ascii="宋体" w:hAnsi="宋体" w:cs="宋体"/>
          <w:color w:val="000000"/>
          <w:szCs w:val="21"/>
        </w:rPr>
        <w:t>。本产品通过销售服务机构渠道销售时，产品风险评级应当以销售服务机构最终披露的评级结果为准。本理财产品不保证本金和收益，投资者还应了解所购买理财产品的投资风险、类型特点和投资存在的最不利投资情形。例如，假设投资者购买本理财产品的本金为50万元人民币，在投资组合资产全部亏损的</w:t>
      </w:r>
      <w:r>
        <w:rPr>
          <w:rFonts w:hint="eastAsia" w:ascii="宋体" w:hAnsi="宋体"/>
          <w:b/>
          <w:bCs/>
        </w:rPr>
        <w:t>最不利情况下，投资者理财产品本金及收益可能面临全部损失。请投资者充分认识投资风险，谨慎投资</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本产品全部销售工作及投资者适当性评估由销售服务机构负责，其中个人投资者为符合相关法律法规、监管规定要求的，经销售服务机构评估的与本产品风险等级相适应的个人投资者。个人投资者应确保其在销售服务机构所作的风险承受能力评估结果由投资者本人填写，</w:t>
      </w:r>
      <w:r>
        <w:rPr>
          <w:rFonts w:hint="eastAsia" w:ascii="宋体" w:hAnsi="宋体" w:cs="宋体"/>
          <w:b/>
          <w:bCs/>
          <w:color w:val="000000"/>
          <w:szCs w:val="21"/>
        </w:rPr>
        <w:t>且风险承受能力等级不低于本产品风险评级。</w:t>
      </w:r>
      <w:r>
        <w:rPr>
          <w:rFonts w:hint="eastAsia" w:ascii="宋体" w:hAnsi="宋体" w:cs="宋体"/>
          <w:b/>
          <w:bCs/>
          <w:color w:val="000000"/>
          <w:szCs w:val="21"/>
          <w:u w:val="single"/>
        </w:rPr>
        <w:t>如个人投资者的</w:t>
      </w:r>
      <w:r>
        <w:rPr>
          <w:rFonts w:ascii="宋体" w:hAnsi="宋体" w:cs="宋体"/>
          <w:b/>
          <w:bCs/>
          <w:color w:val="000000"/>
          <w:szCs w:val="21"/>
          <w:u w:val="single"/>
        </w:rPr>
        <w:t>风险承受能力评估已超过一年，</w:t>
      </w:r>
      <w:r>
        <w:rPr>
          <w:rFonts w:hint="eastAsia" w:ascii="宋体" w:hAnsi="宋体" w:cs="宋体"/>
          <w:b/>
          <w:bCs/>
          <w:color w:val="000000"/>
          <w:szCs w:val="21"/>
          <w:u w:val="single"/>
        </w:rPr>
        <w:t>或影响您风险承受能力的因素发生变化，请及时完成风险承受能力的重新评估，并对评估结果签字确认</w:t>
      </w:r>
      <w:r>
        <w:rPr>
          <w:rFonts w:ascii="宋体" w:hAnsi="宋体" w:cs="宋体"/>
          <w:b/>
          <w:bCs/>
          <w:color w:val="000000"/>
          <w:szCs w:val="21"/>
          <w:u w:val="single"/>
        </w:rPr>
        <w:t>。</w:t>
      </w:r>
      <w:r>
        <w:rPr>
          <w:rFonts w:hint="eastAsia" w:ascii="宋体" w:hAnsi="宋体" w:cs="宋体"/>
          <w:color w:val="000000"/>
          <w:szCs w:val="21"/>
        </w:rPr>
        <w:t>机构投资者无需进行风险承受能力评估。</w:t>
      </w:r>
    </w:p>
    <w:p>
      <w:pPr>
        <w:spacing w:line="360" w:lineRule="auto"/>
        <w:ind w:firstLine="420" w:firstLineChars="200"/>
      </w:pPr>
      <w:r>
        <w:rPr>
          <w:rFonts w:hint="eastAsia" w:ascii="宋体" w:hAnsi="宋体" w:cs="宋体"/>
          <w:color w:val="000000"/>
          <w:szCs w:val="21"/>
        </w:rPr>
        <w:t>本产品风险评级及与投资者类型对应关系如下:</w:t>
      </w:r>
    </w:p>
    <w:tbl>
      <w:tblPr>
        <w:tblStyle w:val="10"/>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525"/>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8" w:type="dxa"/>
            <w:vAlign w:val="center"/>
          </w:tcPr>
          <w:p>
            <w:pPr>
              <w:jc w:val="center"/>
              <w:rPr>
                <w:rFonts w:ascii="宋体" w:hAnsi="宋体" w:cs="宋体"/>
                <w:b/>
                <w:sz w:val="22"/>
              </w:rPr>
            </w:pPr>
            <w:r>
              <w:rPr>
                <w:rFonts w:hint="eastAsia" w:ascii="宋体" w:hAnsi="宋体" w:cs="宋体"/>
                <w:b/>
                <w:bCs/>
                <w:sz w:val="22"/>
              </w:rPr>
              <w:t>光大理财内部风险评级</w:t>
            </w:r>
          </w:p>
        </w:tc>
        <w:tc>
          <w:tcPr>
            <w:tcW w:w="1525" w:type="dxa"/>
            <w:vAlign w:val="center"/>
          </w:tcPr>
          <w:p>
            <w:pPr>
              <w:jc w:val="center"/>
              <w:rPr>
                <w:rFonts w:ascii="宋体" w:hAnsi="宋体" w:cs="宋体"/>
                <w:b/>
                <w:sz w:val="22"/>
              </w:rPr>
            </w:pPr>
            <w:r>
              <w:rPr>
                <w:rFonts w:hint="eastAsia" w:ascii="宋体" w:hAnsi="宋体" w:cs="宋体"/>
                <w:b/>
                <w:bCs/>
                <w:sz w:val="22"/>
              </w:rPr>
              <w:t>风险程度</w:t>
            </w:r>
          </w:p>
        </w:tc>
        <w:tc>
          <w:tcPr>
            <w:tcW w:w="4720" w:type="dxa"/>
          </w:tcPr>
          <w:p>
            <w:pPr>
              <w:jc w:val="center"/>
              <w:rPr>
                <w:rFonts w:ascii="宋体" w:hAnsi="宋体" w:cs="宋体"/>
                <w:b/>
                <w:bCs/>
                <w:sz w:val="22"/>
              </w:rPr>
            </w:pPr>
            <w:r>
              <w:rPr>
                <w:rFonts w:hint="eastAsia" w:ascii="宋体" w:hAnsi="宋体" w:cs="宋体"/>
                <w:b/>
                <w:bCs/>
                <w:sz w:val="22"/>
              </w:rPr>
              <w:t>适合的投资人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8" w:type="dxa"/>
          </w:tcPr>
          <w:p>
            <w:pPr>
              <w:jc w:val="center"/>
              <w:rPr>
                <w:rFonts w:ascii="宋体" w:hAnsi="宋体" w:cs="宋体"/>
                <w:bCs/>
                <w:sz w:val="22"/>
              </w:rPr>
            </w:pPr>
            <w:r>
              <w:rPr>
                <w:rFonts w:hint="eastAsia" w:ascii="宋体" w:hAnsi="宋体" w:cs="宋体"/>
                <w:bCs/>
                <w:sz w:val="22"/>
              </w:rPr>
              <w:t>★</w:t>
            </w:r>
          </w:p>
        </w:tc>
        <w:tc>
          <w:tcPr>
            <w:tcW w:w="1525" w:type="dxa"/>
          </w:tcPr>
          <w:p>
            <w:pPr>
              <w:jc w:val="center"/>
              <w:rPr>
                <w:rFonts w:ascii="宋体" w:hAnsi="宋体" w:cs="宋体"/>
                <w:sz w:val="22"/>
              </w:rPr>
            </w:pPr>
            <w:r>
              <w:rPr>
                <w:rFonts w:hint="eastAsia" w:ascii="宋体" w:hAnsi="宋体" w:cs="宋体"/>
                <w:bCs/>
                <w:sz w:val="22"/>
              </w:rPr>
              <w:t>低</w:t>
            </w:r>
          </w:p>
        </w:tc>
        <w:tc>
          <w:tcPr>
            <w:tcW w:w="4720" w:type="dxa"/>
          </w:tcPr>
          <w:p>
            <w:pPr>
              <w:jc w:val="center"/>
              <w:rPr>
                <w:rFonts w:ascii="宋体" w:hAnsi="宋体" w:cs="宋体"/>
                <w:sz w:val="22"/>
              </w:rPr>
            </w:pPr>
            <w:r>
              <w:rPr>
                <w:rFonts w:hint="eastAsia" w:ascii="宋体" w:hAnsi="宋体" w:cs="宋体"/>
                <w:sz w:val="22"/>
              </w:rPr>
              <w:t>谨慎型、稳健型、平衡型、进取型、激进型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8" w:type="dxa"/>
          </w:tcPr>
          <w:p>
            <w:pPr>
              <w:jc w:val="center"/>
              <w:rPr>
                <w:rFonts w:ascii="宋体" w:hAnsi="宋体" w:cs="宋体"/>
                <w:bCs/>
                <w:sz w:val="22"/>
              </w:rPr>
            </w:pPr>
            <w:r>
              <w:rPr>
                <w:rFonts w:hint="eastAsia" w:ascii="宋体" w:hAnsi="宋体" w:cs="宋体"/>
                <w:bCs/>
                <w:sz w:val="22"/>
              </w:rPr>
              <w:t>★★</w:t>
            </w:r>
          </w:p>
        </w:tc>
        <w:tc>
          <w:tcPr>
            <w:tcW w:w="1525" w:type="dxa"/>
          </w:tcPr>
          <w:p>
            <w:pPr>
              <w:jc w:val="center"/>
              <w:rPr>
                <w:rFonts w:ascii="宋体" w:hAnsi="宋体" w:cs="宋体"/>
                <w:sz w:val="22"/>
              </w:rPr>
            </w:pPr>
            <w:r>
              <w:rPr>
                <w:rFonts w:hint="eastAsia" w:ascii="宋体" w:hAnsi="宋体" w:cs="宋体"/>
                <w:b/>
                <w:bCs/>
                <w:sz w:val="22"/>
              </w:rPr>
              <w:t>较低</w:t>
            </w:r>
          </w:p>
        </w:tc>
        <w:tc>
          <w:tcPr>
            <w:tcW w:w="4720" w:type="dxa"/>
          </w:tcPr>
          <w:p>
            <w:pPr>
              <w:jc w:val="center"/>
              <w:rPr>
                <w:rFonts w:ascii="宋体" w:hAnsi="宋体" w:cs="宋体"/>
                <w:sz w:val="22"/>
              </w:rPr>
            </w:pPr>
            <w:r>
              <w:rPr>
                <w:rFonts w:hint="eastAsia" w:ascii="宋体" w:hAnsi="宋体" w:cs="宋体"/>
                <w:b/>
                <w:bCs/>
                <w:sz w:val="22"/>
              </w:rPr>
              <w:t>稳健型、平衡型、进取型、激进型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8" w:type="dxa"/>
          </w:tcPr>
          <w:p>
            <w:pPr>
              <w:jc w:val="center"/>
              <w:rPr>
                <w:rFonts w:ascii="宋体" w:hAnsi="宋体" w:cs="宋体"/>
                <w:bCs/>
                <w:sz w:val="22"/>
              </w:rPr>
            </w:pPr>
            <w:r>
              <w:rPr>
                <w:rFonts w:hint="eastAsia" w:ascii="宋体" w:hAnsi="宋体" w:cs="宋体"/>
                <w:bCs/>
                <w:sz w:val="22"/>
              </w:rPr>
              <w:t>★★★</w:t>
            </w:r>
          </w:p>
        </w:tc>
        <w:tc>
          <w:tcPr>
            <w:tcW w:w="1525" w:type="dxa"/>
          </w:tcPr>
          <w:p>
            <w:pPr>
              <w:jc w:val="center"/>
              <w:rPr>
                <w:rFonts w:ascii="宋体" w:hAnsi="宋体" w:cs="宋体"/>
                <w:sz w:val="22"/>
              </w:rPr>
            </w:pPr>
            <w:r>
              <w:rPr>
                <w:rFonts w:hint="eastAsia" w:ascii="宋体" w:hAnsi="宋体" w:cs="宋体"/>
                <w:bCs/>
                <w:sz w:val="22"/>
              </w:rPr>
              <w:t>中</w:t>
            </w:r>
          </w:p>
        </w:tc>
        <w:tc>
          <w:tcPr>
            <w:tcW w:w="4720" w:type="dxa"/>
          </w:tcPr>
          <w:p>
            <w:pPr>
              <w:jc w:val="center"/>
              <w:rPr>
                <w:rFonts w:ascii="宋体" w:hAnsi="宋体" w:cs="宋体"/>
                <w:bCs/>
                <w:sz w:val="22"/>
              </w:rPr>
            </w:pPr>
            <w:r>
              <w:rPr>
                <w:rFonts w:hint="eastAsia" w:ascii="宋体" w:hAnsi="宋体" w:cs="宋体"/>
                <w:sz w:val="22"/>
              </w:rPr>
              <w:t>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8" w:type="dxa"/>
          </w:tcPr>
          <w:p>
            <w:pPr>
              <w:jc w:val="center"/>
              <w:rPr>
                <w:rFonts w:ascii="宋体" w:hAnsi="宋体" w:cs="宋体"/>
                <w:bCs/>
                <w:sz w:val="22"/>
              </w:rPr>
            </w:pPr>
            <w:r>
              <w:rPr>
                <w:rFonts w:hint="eastAsia" w:ascii="宋体" w:hAnsi="宋体" w:cs="宋体"/>
                <w:b/>
                <w:bCs/>
                <w:sz w:val="22"/>
              </w:rPr>
              <w:t>★★★★</w:t>
            </w:r>
          </w:p>
        </w:tc>
        <w:tc>
          <w:tcPr>
            <w:tcW w:w="1525" w:type="dxa"/>
          </w:tcPr>
          <w:p>
            <w:pPr>
              <w:jc w:val="center"/>
              <w:rPr>
                <w:rFonts w:ascii="宋体" w:hAnsi="宋体" w:cs="宋体"/>
                <w:sz w:val="22"/>
              </w:rPr>
            </w:pPr>
            <w:r>
              <w:rPr>
                <w:rFonts w:hint="eastAsia" w:ascii="宋体" w:hAnsi="宋体" w:cs="宋体"/>
                <w:sz w:val="22"/>
              </w:rPr>
              <w:t>较高</w:t>
            </w:r>
          </w:p>
        </w:tc>
        <w:tc>
          <w:tcPr>
            <w:tcW w:w="4720" w:type="dxa"/>
          </w:tcPr>
          <w:p>
            <w:pPr>
              <w:jc w:val="center"/>
              <w:rPr>
                <w:rFonts w:ascii="宋体" w:hAnsi="宋体" w:cs="宋体"/>
                <w:sz w:val="22"/>
              </w:rPr>
            </w:pPr>
            <w:r>
              <w:rPr>
                <w:rFonts w:hint="eastAsia" w:ascii="宋体" w:hAnsi="宋体" w:cs="宋体"/>
                <w:sz w:val="22"/>
              </w:rPr>
              <w:t>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8" w:type="dxa"/>
            <w:tcBorders>
              <w:bottom w:val="single" w:color="auto" w:sz="4" w:space="0"/>
            </w:tcBorders>
          </w:tcPr>
          <w:p>
            <w:pPr>
              <w:jc w:val="center"/>
              <w:rPr>
                <w:rFonts w:ascii="宋体" w:hAnsi="宋体" w:cs="宋体"/>
                <w:bCs/>
                <w:sz w:val="22"/>
              </w:rPr>
            </w:pPr>
            <w:r>
              <w:rPr>
                <w:rFonts w:hint="eastAsia" w:ascii="宋体" w:hAnsi="宋体" w:cs="宋体"/>
                <w:bCs/>
                <w:sz w:val="22"/>
              </w:rPr>
              <w:t>★★★★★</w:t>
            </w:r>
          </w:p>
        </w:tc>
        <w:tc>
          <w:tcPr>
            <w:tcW w:w="1525" w:type="dxa"/>
            <w:tcBorders>
              <w:bottom w:val="single" w:color="auto" w:sz="4" w:space="0"/>
            </w:tcBorders>
          </w:tcPr>
          <w:p>
            <w:pPr>
              <w:jc w:val="center"/>
              <w:rPr>
                <w:rFonts w:ascii="宋体" w:hAnsi="宋体" w:cs="宋体"/>
                <w:sz w:val="22"/>
              </w:rPr>
            </w:pPr>
            <w:r>
              <w:rPr>
                <w:rFonts w:hint="eastAsia" w:ascii="宋体" w:hAnsi="宋体" w:cs="宋体"/>
                <w:bCs/>
                <w:sz w:val="22"/>
              </w:rPr>
              <w:t>高</w:t>
            </w:r>
          </w:p>
        </w:tc>
        <w:tc>
          <w:tcPr>
            <w:tcW w:w="4720" w:type="dxa"/>
            <w:tcBorders>
              <w:bottom w:val="single" w:color="auto" w:sz="4" w:space="0"/>
            </w:tcBorders>
          </w:tcPr>
          <w:p>
            <w:pPr>
              <w:jc w:val="center"/>
              <w:rPr>
                <w:rFonts w:ascii="宋体" w:hAnsi="宋体" w:cs="宋体"/>
                <w:sz w:val="22"/>
              </w:rPr>
            </w:pPr>
            <w:r>
              <w:rPr>
                <w:rFonts w:hint="eastAsia" w:ascii="宋体" w:hAnsi="宋体" w:cs="宋体"/>
                <w:sz w:val="22"/>
              </w:rPr>
              <w:t>激进型</w:t>
            </w:r>
          </w:p>
        </w:tc>
      </w:tr>
    </w:tbl>
    <w:p>
      <w:pPr>
        <w:numPr>
          <w:ins w:id="0" w:author="liyub" w:date="2024-01-17T08:40:00Z"/>
        </w:numPr>
        <w:spacing w:line="360" w:lineRule="auto"/>
        <w:ind w:firstLine="420" w:firstLineChars="200"/>
      </w:pPr>
    </w:p>
    <w:p>
      <w:pPr>
        <w:spacing w:line="360" w:lineRule="auto"/>
        <w:ind w:firstLine="420" w:firstLineChars="200"/>
        <w:rPr>
          <w:rFonts w:ascii="宋体" w:hAnsi="宋体"/>
          <w:color w:val="000000"/>
        </w:rPr>
      </w:pPr>
      <w:r>
        <w:rPr>
          <w:rFonts w:hint="eastAsia" w:ascii="宋体" w:hAnsi="宋体" w:cs="宋体"/>
          <w:color w:val="000000"/>
          <w:szCs w:val="21"/>
        </w:rPr>
        <w:t>6.</w:t>
      </w:r>
      <w:r>
        <w:rPr>
          <w:rFonts w:hint="eastAsia" w:ascii="宋体" w:hAnsi="宋体"/>
          <w:color w:val="000000"/>
        </w:rPr>
        <w:t>本理财产品的销售文件包括理财产品投资协议书、销售（代理销售）协议书、理财产品说明书、风险揭示书、投资者权益须知等，投资者签署本理财产品各项销售文件并将资金委托给光大理财运作是投资者真实的意思表示。</w:t>
      </w:r>
    </w:p>
    <w:p>
      <w:pPr>
        <w:spacing w:line="360" w:lineRule="auto"/>
        <w:ind w:firstLine="420" w:firstLineChars="200"/>
        <w:rPr>
          <w:rFonts w:ascii="宋体" w:hAnsi="宋体" w:cs="宋体"/>
          <w:color w:val="000000"/>
          <w:szCs w:val="21"/>
        </w:rPr>
      </w:pPr>
      <w:r>
        <w:rPr>
          <w:rFonts w:ascii="宋体" w:hAnsi="宋体" w:cs="宋体"/>
          <w:color w:val="000000"/>
          <w:szCs w:val="21"/>
        </w:rPr>
        <w:t>7.光大理财将</w:t>
      </w:r>
      <w:r>
        <w:rPr>
          <w:rFonts w:hint="eastAsia" w:ascii="宋体" w:hAnsi="宋体" w:cs="宋体"/>
          <w:color w:val="000000"/>
          <w:szCs w:val="21"/>
        </w:rPr>
        <w:t>根</w:t>
      </w:r>
      <w:r>
        <w:rPr>
          <w:rFonts w:ascii="宋体" w:hAnsi="宋体" w:cs="宋体"/>
          <w:color w:val="000000"/>
          <w:szCs w:val="21"/>
        </w:rPr>
        <w:t>据相关法律、法规严格履行投资者信息保密责任，</w:t>
      </w:r>
      <w:r>
        <w:rPr>
          <w:rFonts w:hint="eastAsia" w:ascii="宋体" w:hAnsi="宋体" w:cs="宋体"/>
          <w:szCs w:val="21"/>
        </w:rPr>
        <w:t>除法律法规及监管规范另有规定或者投资者同意披露外，不得向任何组织、个人提供或泄漏与投资者有关的资料和信息。</w:t>
      </w:r>
    </w:p>
    <w:p>
      <w:pPr>
        <w:spacing w:line="360" w:lineRule="auto"/>
        <w:ind w:firstLine="420" w:firstLineChars="200"/>
        <w:rPr>
          <w:rFonts w:ascii="宋体" w:hAnsi="宋体" w:cs="宋体"/>
          <w:color w:val="000000"/>
          <w:szCs w:val="21"/>
        </w:rPr>
      </w:pPr>
      <w:r>
        <w:rPr>
          <w:rFonts w:ascii="宋体" w:hAnsi="宋体" w:cs="宋体"/>
          <w:color w:val="000000"/>
          <w:szCs w:val="21"/>
        </w:rPr>
        <w:br w:type="page"/>
      </w:r>
    </w:p>
    <w:p>
      <w:pPr>
        <w:spacing w:line="360" w:lineRule="auto"/>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投资者风险确认函</w:t>
      </w:r>
    </w:p>
    <w:p>
      <w:pPr>
        <w:spacing w:line="360" w:lineRule="auto"/>
        <w:jc w:val="center"/>
        <w:rPr>
          <w:rFonts w:ascii="宋体" w:hAnsi="宋体"/>
          <w:color w:val="000000"/>
          <w:sz w:val="28"/>
        </w:rPr>
      </w:pPr>
    </w:p>
    <w:p>
      <w:pPr>
        <w:spacing w:line="360" w:lineRule="auto"/>
        <w:ind w:firstLine="420" w:firstLineChars="200"/>
        <w:rPr>
          <w:rFonts w:ascii="宋体" w:hAnsi="宋体"/>
          <w:b/>
          <w:bCs/>
          <w:color w:val="000000"/>
        </w:rPr>
      </w:pPr>
      <w:r>
        <w:rPr>
          <w:rFonts w:ascii="宋体" w:hAnsi="宋体"/>
          <w:color w:val="000000"/>
        </w:rPr>
        <w:t>本人</w:t>
      </w:r>
      <w:r>
        <w:rPr>
          <w:rFonts w:hint="eastAsia" w:ascii="宋体" w:hAnsi="宋体"/>
          <w:color w:val="000000"/>
        </w:rPr>
        <w:t>/本公司</w:t>
      </w:r>
      <w:r>
        <w:rPr>
          <w:rFonts w:ascii="宋体" w:hAnsi="宋体"/>
          <w:color w:val="000000"/>
        </w:rPr>
        <w:t>确认已经收到本</w:t>
      </w:r>
      <w:r>
        <w:rPr>
          <w:rFonts w:hint="eastAsia" w:ascii="宋体" w:hAnsi="宋体"/>
          <w:color w:val="000000"/>
        </w:rPr>
        <w:t>理财产品的</w:t>
      </w:r>
      <w:r>
        <w:rPr>
          <w:rFonts w:ascii="宋体" w:hAnsi="宋体"/>
          <w:color w:val="000000"/>
        </w:rPr>
        <w:t>风险揭示书，且已经认真阅读</w:t>
      </w:r>
      <w:r>
        <w:rPr>
          <w:rFonts w:hint="eastAsia" w:ascii="宋体" w:hAnsi="宋体"/>
          <w:b/>
          <w:bCs/>
          <w:color w:val="000000"/>
        </w:rPr>
        <w:t>本理财产品完整销售文件包括理财产品投资协议书、销售（代理销售）协议书、理财产品说明书、风险揭示书、投资者权益须知等</w:t>
      </w:r>
      <w:r>
        <w:rPr>
          <w:rFonts w:ascii="宋体" w:hAnsi="宋体"/>
          <w:b/>
          <w:bCs/>
          <w:color w:val="000000"/>
        </w:rPr>
        <w:t>，充分了解并清楚知晓理财产品的风险，愿意承担相关风险，接受</w:t>
      </w:r>
      <w:r>
        <w:rPr>
          <w:rFonts w:hint="eastAsia" w:ascii="宋体" w:hAnsi="宋体"/>
          <w:b/>
          <w:bCs/>
          <w:color w:val="000000"/>
        </w:rPr>
        <w:t>本</w:t>
      </w:r>
      <w:r>
        <w:rPr>
          <w:rFonts w:ascii="宋体" w:hAnsi="宋体"/>
          <w:b/>
          <w:bCs/>
          <w:color w:val="000000"/>
        </w:rPr>
        <w:t>理财产品</w:t>
      </w:r>
      <w:r>
        <w:rPr>
          <w:rFonts w:hint="eastAsia" w:ascii="宋体" w:hAnsi="宋体"/>
          <w:b/>
          <w:bCs/>
          <w:color w:val="000000"/>
        </w:rPr>
        <w:t>销售文件的</w:t>
      </w:r>
      <w:r>
        <w:rPr>
          <w:rFonts w:ascii="宋体" w:hAnsi="宋体"/>
          <w:b/>
          <w:bCs/>
          <w:color w:val="000000"/>
        </w:rPr>
        <w:t>全部</w:t>
      </w:r>
      <w:r>
        <w:rPr>
          <w:rFonts w:hint="eastAsia" w:ascii="宋体" w:hAnsi="宋体"/>
          <w:b/>
          <w:bCs/>
          <w:color w:val="000000"/>
        </w:rPr>
        <w:t>约定</w:t>
      </w:r>
      <w:r>
        <w:rPr>
          <w:rFonts w:ascii="宋体" w:hAnsi="宋体"/>
          <w:b/>
          <w:bCs/>
          <w:color w:val="000000"/>
        </w:rPr>
        <w:t>。本人</w:t>
      </w:r>
      <w:r>
        <w:rPr>
          <w:rFonts w:hint="eastAsia" w:ascii="宋体" w:hAnsi="宋体"/>
          <w:b/>
          <w:bCs/>
          <w:color w:val="000000"/>
        </w:rPr>
        <w:t>/本公司</w:t>
      </w:r>
      <w:r>
        <w:rPr>
          <w:rFonts w:ascii="宋体" w:hAnsi="宋体"/>
          <w:b/>
          <w:bCs/>
          <w:color w:val="000000"/>
        </w:rPr>
        <w:t>确认理解</w:t>
      </w:r>
      <w:r>
        <w:rPr>
          <w:rFonts w:hint="eastAsia" w:ascii="宋体" w:hAnsi="宋体"/>
          <w:b/>
          <w:bCs/>
          <w:color w:val="000000"/>
        </w:rPr>
        <w:t>并认可</w:t>
      </w:r>
      <w:r>
        <w:rPr>
          <w:rFonts w:ascii="宋体" w:hAnsi="宋体"/>
          <w:b/>
          <w:bCs/>
          <w:color w:val="000000"/>
        </w:rPr>
        <w:t>投资本理财产品将涉及的所有风险，并将承担且有能力承担该等风险。</w:t>
      </w:r>
    </w:p>
    <w:p>
      <w:pPr>
        <w:spacing w:line="360" w:lineRule="auto"/>
        <w:ind w:firstLine="420" w:firstLineChars="200"/>
        <w:rPr>
          <w:rFonts w:ascii="宋体" w:hAnsi="宋体"/>
          <w:color w:val="000000"/>
        </w:rPr>
      </w:pPr>
      <w:r>
        <w:rPr>
          <w:rFonts w:ascii="宋体" w:hAnsi="宋体"/>
          <w:color w:val="000000"/>
        </w:rPr>
        <w:t>经</w:t>
      </w:r>
      <w:r>
        <w:rPr>
          <w:rFonts w:hint="eastAsia" w:ascii="宋体" w:hAnsi="宋体"/>
          <w:color w:val="000000"/>
        </w:rPr>
        <w:t>销售服务机构</w:t>
      </w:r>
      <w:r>
        <w:rPr>
          <w:rFonts w:ascii="宋体" w:hAnsi="宋体"/>
          <w:color w:val="000000"/>
        </w:rPr>
        <w:t>评估，本人的风险承受能力评级结果为:__________</w:t>
      </w:r>
      <w:r>
        <w:rPr>
          <w:rFonts w:hint="eastAsia" w:ascii="宋体" w:hAnsi="宋体"/>
          <w:color w:val="000000"/>
          <w:szCs w:val="21"/>
        </w:rPr>
        <w:t>（仅个人投资者填写），风险承受能力不低于本理财产品的风险评级，适合购买本理财产品。</w:t>
      </w:r>
      <w:r>
        <w:rPr>
          <w:rFonts w:hint="eastAsia" w:ascii="宋体" w:hAnsi="宋体"/>
          <w:b/>
          <w:bCs/>
          <w:color w:val="000000"/>
        </w:rPr>
        <w:t>如影响自身风险承受能力的因素发生变化，本人将及时完成风险承受能力的重新评估。</w:t>
      </w:r>
      <w:r>
        <w:rPr>
          <w:rFonts w:hint="eastAsia" w:ascii="宋体" w:hAnsi="宋体"/>
          <w:color w:val="000000"/>
        </w:rPr>
        <w:t>机构投资者无需进行风险承受能力评估。</w:t>
      </w:r>
    </w:p>
    <w:p>
      <w:pPr>
        <w:spacing w:line="360" w:lineRule="auto"/>
        <w:ind w:firstLine="422" w:firstLineChars="200"/>
        <w:rPr>
          <w:rFonts w:ascii="宋体" w:hAnsi="宋体"/>
          <w:color w:val="000000"/>
        </w:rPr>
      </w:pPr>
      <w:r>
        <w:rPr>
          <w:rFonts w:ascii="宋体" w:hAnsi="宋体"/>
          <w:b/>
          <w:bCs/>
          <w:color w:val="000000"/>
          <w:u w:val="single"/>
        </w:rPr>
        <w:t>同时，本人</w:t>
      </w:r>
      <w:r>
        <w:rPr>
          <w:rFonts w:hint="eastAsia" w:ascii="宋体" w:hAnsi="宋体"/>
          <w:b/>
          <w:bCs/>
          <w:color w:val="000000"/>
          <w:u w:val="single"/>
        </w:rPr>
        <w:t>/本公司</w:t>
      </w:r>
      <w:r>
        <w:rPr>
          <w:rFonts w:ascii="宋体" w:hAnsi="宋体"/>
          <w:b/>
          <w:bCs/>
          <w:color w:val="000000"/>
          <w:u w:val="single"/>
        </w:rPr>
        <w:t>充分了解并清楚知晓</w:t>
      </w:r>
      <w:r>
        <w:rPr>
          <w:rFonts w:hint="eastAsia" w:ascii="宋体" w:hAnsi="宋体"/>
          <w:b/>
          <w:bCs/>
          <w:color w:val="000000"/>
          <w:u w:val="single"/>
        </w:rPr>
        <w:t>光大理财与光大银行之间的关联关系</w:t>
      </w:r>
      <w:r>
        <w:rPr>
          <w:rFonts w:ascii="宋体" w:hAnsi="宋体"/>
          <w:b/>
          <w:bCs/>
          <w:color w:val="000000"/>
          <w:u w:val="single"/>
        </w:rPr>
        <w:t>。本人</w:t>
      </w:r>
      <w:r>
        <w:rPr>
          <w:rFonts w:hint="eastAsia" w:ascii="宋体" w:hAnsi="宋体"/>
          <w:b/>
          <w:bCs/>
          <w:color w:val="000000"/>
          <w:u w:val="single"/>
        </w:rPr>
        <w:t>/本公司</w:t>
      </w:r>
      <w:r>
        <w:rPr>
          <w:rFonts w:ascii="宋体" w:hAnsi="宋体"/>
          <w:b/>
          <w:bCs/>
          <w:color w:val="000000"/>
          <w:u w:val="single"/>
        </w:rPr>
        <w:t>确认理解</w:t>
      </w:r>
      <w:r>
        <w:rPr>
          <w:rFonts w:hint="eastAsia" w:ascii="宋体" w:hAnsi="宋体"/>
          <w:b/>
          <w:bCs/>
          <w:color w:val="000000"/>
          <w:u w:val="single"/>
        </w:rPr>
        <w:t>并认可光大理财与光大银行之间关联关系可能</w:t>
      </w:r>
      <w:r>
        <w:rPr>
          <w:rFonts w:ascii="宋体" w:hAnsi="宋体"/>
          <w:b/>
          <w:bCs/>
          <w:color w:val="000000"/>
          <w:u w:val="single"/>
        </w:rPr>
        <w:t>涉及</w:t>
      </w:r>
      <w:r>
        <w:rPr>
          <w:rFonts w:hint="eastAsia" w:ascii="宋体" w:hAnsi="宋体"/>
          <w:b/>
          <w:bCs/>
          <w:color w:val="000000"/>
          <w:u w:val="single"/>
        </w:rPr>
        <w:t>的</w:t>
      </w:r>
      <w:r>
        <w:rPr>
          <w:rFonts w:ascii="宋体" w:hAnsi="宋体"/>
          <w:b/>
          <w:bCs/>
          <w:color w:val="000000"/>
          <w:u w:val="single"/>
        </w:rPr>
        <w:t>风险，并将承担且有能力承担该等风险。</w:t>
      </w:r>
    </w:p>
    <w:p>
      <w:pPr>
        <w:spacing w:line="360" w:lineRule="auto"/>
        <w:ind w:firstLine="420" w:firstLineChars="200"/>
        <w:rPr>
          <w:rFonts w:ascii="宋体" w:hAnsi="宋体"/>
          <w:color w:val="000000"/>
        </w:rPr>
      </w:pPr>
      <w:r>
        <w:rPr>
          <w:rFonts w:ascii="宋体" w:hAnsi="宋体"/>
          <w:color w:val="000000"/>
        </w:rPr>
        <w:t>投资者须亲笔抄录以下内容：</w:t>
      </w:r>
      <w:r>
        <w:rPr>
          <w:rFonts w:ascii="宋体" w:hAnsi="宋体"/>
          <w:b/>
          <w:bCs/>
          <w:color w:val="000000"/>
        </w:rPr>
        <w:t>“</w:t>
      </w:r>
      <w:r>
        <w:rPr>
          <w:rFonts w:hint="eastAsia" w:ascii="宋体" w:hAnsi="宋体"/>
          <w:b/>
          <w:bCs/>
          <w:color w:val="000000"/>
        </w:rPr>
        <w:t>本人已经阅读风险揭示，愿意承担投资风险</w:t>
      </w:r>
      <w:r>
        <w:rPr>
          <w:rFonts w:ascii="宋体" w:hAnsi="宋体"/>
          <w:b/>
          <w:bCs/>
          <w:color w:val="000000"/>
        </w:rPr>
        <w:t>。”</w:t>
      </w:r>
    </w:p>
    <w:p>
      <w:pPr>
        <w:spacing w:line="360" w:lineRule="auto"/>
        <w:ind w:firstLine="420"/>
        <w:rPr>
          <w:rFonts w:ascii="宋体" w:hAnsi="宋体"/>
          <w:color w:val="000000"/>
        </w:rPr>
      </w:pPr>
      <w:r>
        <w:rPr>
          <w:rFonts w:ascii="宋体" w:hAnsi="宋体"/>
          <w:color w:val="000000"/>
        </w:rPr>
        <w:t>______________________________________________________________________</w:t>
      </w:r>
    </w:p>
    <w:p>
      <w:pPr>
        <w:spacing w:line="360" w:lineRule="auto"/>
        <w:rPr>
          <w:rFonts w:ascii="宋体" w:hAnsi="宋体"/>
          <w:color w:val="000000"/>
        </w:rPr>
      </w:pPr>
    </w:p>
    <w:p>
      <w:pPr>
        <w:spacing w:line="360" w:lineRule="auto"/>
        <w:ind w:firstLine="420"/>
        <w:jc w:val="left"/>
        <w:rPr>
          <w:rFonts w:ascii="宋体" w:hAnsi="宋体"/>
          <w:color w:val="000000"/>
          <w:szCs w:val="21"/>
        </w:rPr>
      </w:pPr>
    </w:p>
    <w:p>
      <w:pPr>
        <w:spacing w:line="360" w:lineRule="auto"/>
        <w:rPr>
          <w:rFonts w:ascii="宋体" w:hAnsi="宋体"/>
          <w:color w:val="000000"/>
        </w:rPr>
      </w:pPr>
      <w:r>
        <w:rPr>
          <w:rFonts w:hint="eastAsia" w:ascii="宋体" w:hAnsi="宋体"/>
          <w:color w:val="000000"/>
        </w:rPr>
        <w:t>个人投资者签字：</w: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r>
        <w:rPr>
          <w:rFonts w:hint="eastAsia" w:ascii="宋体" w:hAnsi="宋体"/>
          <w:color w:val="000000"/>
        </w:rPr>
        <w:t>机构投资者（盖章）：</w:t>
      </w:r>
    </w:p>
    <w:p>
      <w:pPr>
        <w:spacing w:line="360" w:lineRule="auto"/>
        <w:rPr>
          <w:rFonts w:ascii="宋体" w:hAnsi="宋体"/>
          <w:color w:val="000000"/>
        </w:rPr>
      </w:pPr>
      <w:r>
        <w:rPr>
          <w:rFonts w:hint="eastAsia" w:ascii="宋体" w:hAnsi="宋体"/>
          <w:color w:val="000000"/>
        </w:rPr>
        <w:t>机构投资者法定代表人或授权代表（签字或盖章）：</w:t>
      </w:r>
    </w:p>
    <w:p>
      <w:pPr>
        <w:spacing w:line="360" w:lineRule="auto"/>
        <w:jc w:val="left"/>
        <w:rPr>
          <w:rFonts w:ascii="宋体" w:hAnsi="宋体"/>
          <w:color w:val="000000"/>
        </w:rPr>
      </w:pPr>
    </w:p>
    <w:p>
      <w:pPr>
        <w:spacing w:line="360" w:lineRule="auto"/>
        <w:jc w:val="center"/>
        <w:rPr>
          <w:rFonts w:ascii="黑体" w:hAnsi="黑体" w:eastAsia="黑体" w:cs="黑体"/>
          <w:b/>
          <w:bCs/>
          <w:color w:val="000000"/>
          <w:sz w:val="36"/>
          <w:szCs w:val="36"/>
        </w:rPr>
      </w:pPr>
      <w:r>
        <w:rPr>
          <w:rFonts w:hint="eastAsia" w:ascii="黑体" w:hAnsi="黑体" w:eastAsia="黑体" w:cs="黑体"/>
          <w:b/>
          <w:bCs/>
          <w:color w:val="000000"/>
          <w:sz w:val="36"/>
          <w:szCs w:val="36"/>
        </w:rPr>
        <w:br w:type="page"/>
      </w:r>
    </w:p>
    <w:p>
      <w:pPr>
        <w:spacing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投资者权益须知</w:t>
      </w:r>
    </w:p>
    <w:p>
      <w:pPr>
        <w:spacing w:line="360" w:lineRule="auto"/>
        <w:rPr>
          <w:rFonts w:ascii="宋体" w:hAnsi="宋体"/>
          <w:color w:val="000000"/>
        </w:rPr>
      </w:pPr>
      <w:r>
        <w:rPr>
          <w:rFonts w:hint="eastAsia" w:ascii="宋体" w:hAnsi="宋体"/>
          <w:color w:val="000000"/>
        </w:rPr>
        <w:t>尊敬的投资者：</w:t>
      </w:r>
    </w:p>
    <w:p>
      <w:pPr>
        <w:numPr>
          <w:ins w:id="1" w:author="liyub" w:date="2024-01-17T08:42:00Z"/>
        </w:numPr>
        <w:spacing w:line="360" w:lineRule="auto"/>
        <w:ind w:firstLine="420" w:firstLineChars="200"/>
        <w:rPr>
          <w:rFonts w:ascii="宋体" w:hAnsi="宋体"/>
          <w:color w:val="000000"/>
        </w:rPr>
      </w:pPr>
      <w:r>
        <w:rPr>
          <w:rFonts w:hint="eastAsia" w:ascii="宋体" w:hAnsi="宋体"/>
          <w:color w:val="000000"/>
        </w:rPr>
        <w:t>理财非存款，产品有风险，投资须谨慎。为方便您办理</w:t>
      </w:r>
      <w:r>
        <w:rPr>
          <w:rFonts w:hint="eastAsia" w:ascii="宋体 (标题)" w:hAnsi="宋体 (标题)" w:eastAsia="宋体 (标题)" w:cs="宋体 (标题)"/>
          <w:szCs w:val="21"/>
        </w:rPr>
        <w:t>光大理财有限责任公司（以下简称“光大理财”）</w:t>
      </w:r>
      <w:r>
        <w:rPr>
          <w:rFonts w:hint="eastAsia" w:ascii="宋体" w:hAnsi="宋体"/>
          <w:color w:val="000000"/>
        </w:rPr>
        <w:t>理财业务，请仔细阅读以下内容。如对理财产品销售文件或购买流程等有不明之处，请及时与销售服务机构相关人员进行咨询；在购买理财产品后，请关注理财产品的信息披露情况，及时获取相关信息；如对理财产品有任何意见或建议，请关注产品管理人相关联络方式并予以反馈，或通过销售服务机构转达。</w:t>
      </w:r>
    </w:p>
    <w:p>
      <w:pPr>
        <w:numPr>
          <w:ins w:id="2" w:author="liyub" w:date="2024-01-17T08:42:00Z"/>
        </w:numPr>
        <w:spacing w:line="360" w:lineRule="auto"/>
        <w:ind w:firstLine="422" w:firstLineChars="200"/>
      </w:pPr>
      <w:r>
        <w:rPr>
          <w:rFonts w:hint="eastAsia" w:ascii="宋体" w:hAnsi="宋体"/>
          <w:b/>
          <w:bCs/>
          <w:color w:val="000000"/>
        </w:rPr>
        <w:t>本产品由光大理财发行与管理，代销机构负责产品销售及您与光大理财之间的资金划转工作，不承担产品的投资风险及兑付责任。</w:t>
      </w:r>
      <w:r>
        <w:rPr>
          <w:rFonts w:hint="eastAsia" w:ascii="宋体" w:hAnsi="宋体"/>
          <w:color w:val="000000"/>
        </w:rPr>
        <w:t>投资者在代销机构购买代销的理财产品，须遵从代销机构和光大理财相关规定。投资者不得使用贷款、发行债券等筹集的非自有资金投资理财产品。</w:t>
      </w:r>
    </w:p>
    <w:p>
      <w:pPr>
        <w:spacing w:line="360" w:lineRule="auto"/>
        <w:ind w:firstLine="422" w:firstLineChars="200"/>
        <w:outlineLvl w:val="0"/>
        <w:rPr>
          <w:rFonts w:ascii="宋体" w:hAnsi="宋体"/>
          <w:b/>
          <w:bCs/>
          <w:color w:val="000000"/>
        </w:rPr>
      </w:pPr>
      <w:r>
        <w:rPr>
          <w:rFonts w:hint="eastAsia" w:ascii="宋体" w:hAnsi="宋体"/>
          <w:b/>
          <w:bCs/>
          <w:color w:val="000000"/>
        </w:rPr>
        <w:t>一、销售服务机构代理销售/销售光大理财产品的流程</w:t>
      </w:r>
    </w:p>
    <w:p>
      <w:pPr>
        <w:spacing w:line="360" w:lineRule="auto"/>
        <w:ind w:firstLine="420" w:firstLineChars="200"/>
        <w:rPr>
          <w:rFonts w:ascii="宋体" w:hAnsi="宋体"/>
          <w:color w:val="000000"/>
        </w:rPr>
      </w:pPr>
      <w:r>
        <w:rPr>
          <w:rFonts w:hint="eastAsia" w:ascii="宋体" w:hAnsi="宋体"/>
          <w:color w:val="000000"/>
        </w:rPr>
        <w:t>（一）首次在销售服务机构购买理财产品的投资者需开立相应资金账户，提供并确认正确的联系方式。</w:t>
      </w:r>
    </w:p>
    <w:p>
      <w:pPr>
        <w:spacing w:line="360" w:lineRule="auto"/>
        <w:ind w:firstLine="420" w:firstLineChars="200"/>
        <w:rPr>
          <w:rFonts w:ascii="宋体" w:hAnsi="宋体"/>
          <w:color w:val="000000"/>
        </w:rPr>
      </w:pPr>
      <w:r>
        <w:rPr>
          <w:rFonts w:hint="eastAsia" w:ascii="宋体" w:hAnsi="宋体"/>
          <w:color w:val="000000"/>
        </w:rPr>
        <w:t>（二）首次在销售服务机构购买理财产品的个人投资者需进行投资者风险承受能力评估，并确认</w:t>
      </w:r>
      <w:r>
        <w:rPr>
          <w:rFonts w:hint="eastAsia" w:ascii="宋体" w:hAnsi="宋体" w:cs="宋体"/>
          <w:color w:val="000000"/>
          <w:szCs w:val="21"/>
        </w:rPr>
        <w:t>风险承受能力等级不低于本理财产品风险评级</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（三）仔细阅读本理财产品完整销售文件（包括理财产品投资协议书、销售（代理销售）协议书、理财产品说明书、风险揭示书、投资者权益须知等），理解并确认理财产品条款及产品风险。</w:t>
      </w:r>
    </w:p>
    <w:p>
      <w:pPr>
        <w:spacing w:line="360" w:lineRule="auto"/>
        <w:ind w:firstLine="420" w:firstLineChars="200"/>
        <w:rPr>
          <w:rFonts w:ascii="宋体" w:hAnsi="宋体"/>
          <w:color w:val="000000"/>
        </w:rPr>
      </w:pPr>
      <w:r>
        <w:rPr>
          <w:rFonts w:hint="eastAsia" w:ascii="宋体" w:hAnsi="宋体"/>
          <w:color w:val="000000"/>
        </w:rPr>
        <w:t>（四）确定购买金额，完成交易申请，并在光大理财系统确认投资者购买份额后及时进行查询。</w:t>
      </w:r>
    </w:p>
    <w:p>
      <w:pPr>
        <w:spacing w:line="360" w:lineRule="auto"/>
        <w:ind w:firstLine="422" w:firstLineChars="200"/>
        <w:outlineLvl w:val="0"/>
        <w:rPr>
          <w:rFonts w:ascii="宋体" w:hAnsi="宋体"/>
          <w:b/>
          <w:bCs/>
          <w:color w:val="000000"/>
        </w:rPr>
      </w:pPr>
      <w:r>
        <w:rPr>
          <w:rFonts w:hint="eastAsia" w:ascii="宋体" w:hAnsi="宋体"/>
          <w:b/>
          <w:bCs/>
          <w:color w:val="000000"/>
        </w:rPr>
        <w:t>二、光大理财产品内部风险评级</w:t>
      </w:r>
    </w:p>
    <w:p>
      <w:pPr>
        <w:spacing w:line="360" w:lineRule="auto"/>
        <w:ind w:firstLine="420" w:firstLineChars="200"/>
        <w:rPr>
          <w:rFonts w:ascii="宋体" w:hAnsi="宋体"/>
          <w:color w:val="000000"/>
        </w:rPr>
      </w:pPr>
      <w:r>
        <w:rPr>
          <w:rFonts w:hint="eastAsia" w:ascii="宋体" w:hAnsi="宋体"/>
          <w:color w:val="000000"/>
        </w:rPr>
        <w:t>光大理财发行的</w:t>
      </w:r>
      <w:r>
        <w:rPr>
          <w:rFonts w:ascii="宋体" w:hAnsi="宋体"/>
          <w:color w:val="000000"/>
        </w:rPr>
        <w:t>理财产品</w:t>
      </w:r>
      <w:r>
        <w:rPr>
          <w:rFonts w:hint="eastAsia" w:ascii="宋体" w:hAnsi="宋体"/>
          <w:color w:val="000000"/>
        </w:rPr>
        <w:t>内部</w:t>
      </w:r>
      <w:r>
        <w:rPr>
          <w:rFonts w:ascii="宋体" w:hAnsi="宋体"/>
          <w:color w:val="000000"/>
        </w:rPr>
        <w:t>风险评级共分为五级：低风险产品（</w:t>
      </w:r>
      <w:r>
        <w:rPr>
          <w:rFonts w:hint="eastAsia" w:ascii="宋体" w:hAnsi="宋体"/>
          <w:color w:val="000000"/>
        </w:rPr>
        <w:t>一星级</w:t>
      </w:r>
      <w:r>
        <w:rPr>
          <w:rFonts w:ascii="宋体" w:hAnsi="宋体"/>
          <w:color w:val="000000"/>
        </w:rPr>
        <w:t>）、</w:t>
      </w:r>
      <w:r>
        <w:rPr>
          <w:rFonts w:hint="eastAsia" w:ascii="宋体" w:hAnsi="宋体"/>
          <w:color w:val="000000"/>
        </w:rPr>
        <w:t>较低风险产品（二星级）、中风险产品（三星级）、较高风险产品（四星级）、高风险产品（五星级）。具体分类见下表：</w:t>
      </w:r>
    </w:p>
    <w:tbl>
      <w:tblPr>
        <w:tblStyle w:val="10"/>
        <w:tblW w:w="5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87" w:type="dxa"/>
            <w:vAlign w:val="center"/>
          </w:tcPr>
          <w:p>
            <w:pPr>
              <w:jc w:val="center"/>
              <w:rPr>
                <w:rFonts w:ascii="宋体" w:hAnsi="宋体" w:cs="宋体"/>
                <w:b/>
                <w:color w:val="000000"/>
                <w:sz w:val="22"/>
              </w:rPr>
            </w:pPr>
            <w:r>
              <w:rPr>
                <w:rFonts w:hint="eastAsia" w:ascii="宋体" w:hAnsi="宋体" w:cs="宋体"/>
                <w:b/>
                <w:bCs/>
                <w:color w:val="000000"/>
                <w:sz w:val="22"/>
              </w:rPr>
              <w:t>光大理财内部风险评级</w:t>
            </w:r>
          </w:p>
        </w:tc>
        <w:tc>
          <w:tcPr>
            <w:tcW w:w="2693" w:type="dxa"/>
            <w:vAlign w:val="center"/>
          </w:tcPr>
          <w:p>
            <w:pPr>
              <w:jc w:val="center"/>
              <w:rPr>
                <w:rFonts w:ascii="宋体" w:hAnsi="宋体" w:cs="宋体"/>
                <w:b/>
                <w:color w:val="000000"/>
                <w:sz w:val="22"/>
              </w:rPr>
            </w:pPr>
            <w:r>
              <w:rPr>
                <w:rFonts w:hint="eastAsia" w:ascii="宋体" w:hAnsi="宋体" w:cs="宋体"/>
                <w:b/>
                <w:bCs/>
                <w:color w:val="000000"/>
                <w:sz w:val="22"/>
              </w:rPr>
              <w:t>风险程度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87" w:type="dxa"/>
          </w:tcPr>
          <w:p>
            <w:pPr>
              <w:jc w:val="center"/>
              <w:rPr>
                <w:rFonts w:ascii="宋体" w:hAnsi="宋体" w:cs="宋体"/>
                <w:bCs/>
                <w:sz w:val="22"/>
              </w:rPr>
            </w:pPr>
            <w:r>
              <w:rPr>
                <w:rFonts w:hint="eastAsia" w:ascii="宋体" w:hAnsi="宋体" w:cs="宋体"/>
                <w:bCs/>
                <w:sz w:val="22"/>
              </w:rPr>
              <w:t>★</w:t>
            </w:r>
          </w:p>
        </w:tc>
        <w:tc>
          <w:tcPr>
            <w:tcW w:w="2693" w:type="dxa"/>
          </w:tcPr>
          <w:p>
            <w:pPr>
              <w:jc w:val="center"/>
              <w:rPr>
                <w:rFonts w:ascii="宋体" w:hAnsi="宋体" w:cs="宋体"/>
                <w:sz w:val="22"/>
              </w:rPr>
            </w:pPr>
            <w:r>
              <w:rPr>
                <w:rFonts w:hint="eastAsia" w:ascii="宋体" w:hAnsi="宋体" w:cs="宋体"/>
                <w:bCs/>
                <w:sz w:val="22"/>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87" w:type="dxa"/>
          </w:tcPr>
          <w:p>
            <w:pPr>
              <w:jc w:val="center"/>
              <w:rPr>
                <w:rFonts w:ascii="宋体" w:hAnsi="宋体" w:cs="宋体"/>
                <w:sz w:val="22"/>
              </w:rPr>
            </w:pPr>
            <w:r>
              <w:rPr>
                <w:rFonts w:hint="eastAsia" w:ascii="宋体" w:hAnsi="宋体" w:cs="宋体"/>
                <w:b/>
                <w:bCs/>
                <w:sz w:val="24"/>
                <w:szCs w:val="24"/>
              </w:rPr>
              <w:t>★★</w:t>
            </w:r>
          </w:p>
        </w:tc>
        <w:tc>
          <w:tcPr>
            <w:tcW w:w="2693" w:type="dxa"/>
          </w:tcPr>
          <w:p>
            <w:pPr>
              <w:jc w:val="center"/>
              <w:rPr>
                <w:rFonts w:ascii="宋体" w:hAnsi="宋体" w:cs="宋体"/>
                <w:b/>
                <w:sz w:val="22"/>
              </w:rPr>
            </w:pPr>
            <w:r>
              <w:rPr>
                <w:rFonts w:hint="eastAsia" w:ascii="宋体" w:hAnsi="宋体" w:cs="宋体"/>
                <w:b/>
                <w:bCs/>
                <w:sz w:val="22"/>
              </w:rPr>
              <w:t>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87" w:type="dxa"/>
          </w:tcPr>
          <w:p>
            <w:pPr>
              <w:jc w:val="center"/>
              <w:rPr>
                <w:rFonts w:ascii="宋体" w:hAnsi="宋体" w:cs="宋体"/>
                <w:b/>
                <w:sz w:val="22"/>
              </w:rPr>
            </w:pPr>
            <w:r>
              <w:rPr>
                <w:rFonts w:hint="eastAsia" w:ascii="宋体" w:hAnsi="宋体" w:cs="宋体"/>
                <w:sz w:val="22"/>
              </w:rPr>
              <w:t>★★★</w:t>
            </w:r>
          </w:p>
        </w:tc>
        <w:tc>
          <w:tcPr>
            <w:tcW w:w="2693" w:type="dxa"/>
          </w:tcPr>
          <w:p>
            <w:pPr>
              <w:jc w:val="center"/>
              <w:rPr>
                <w:rFonts w:ascii="宋体" w:hAnsi="宋体" w:cs="宋体"/>
                <w:sz w:val="22"/>
              </w:rPr>
            </w:pPr>
            <w:r>
              <w:rPr>
                <w:rFonts w:hint="eastAsia" w:ascii="宋体" w:hAnsi="宋体" w:cs="宋体"/>
                <w:bCs/>
                <w:sz w:val="22"/>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87" w:type="dxa"/>
          </w:tcPr>
          <w:p>
            <w:pPr>
              <w:jc w:val="center"/>
              <w:rPr>
                <w:rFonts w:ascii="宋体" w:hAnsi="宋体" w:cs="宋体"/>
                <w:b/>
                <w:sz w:val="22"/>
              </w:rPr>
            </w:pPr>
            <w:r>
              <w:rPr>
                <w:rFonts w:hint="eastAsia" w:ascii="宋体" w:hAnsi="宋体" w:cs="宋体"/>
                <w:bCs/>
                <w:sz w:val="22"/>
              </w:rPr>
              <w:t>★★★★</w:t>
            </w:r>
          </w:p>
        </w:tc>
        <w:tc>
          <w:tcPr>
            <w:tcW w:w="2693" w:type="dxa"/>
          </w:tcPr>
          <w:p>
            <w:pPr>
              <w:jc w:val="center"/>
              <w:rPr>
                <w:rFonts w:ascii="宋体" w:hAnsi="宋体" w:cs="宋体"/>
                <w:sz w:val="22"/>
              </w:rPr>
            </w:pPr>
            <w:r>
              <w:rPr>
                <w:rFonts w:hint="eastAsia" w:ascii="宋体" w:hAnsi="宋体" w:cs="宋体"/>
                <w:bCs/>
                <w:sz w:val="22"/>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87" w:type="dxa"/>
            <w:tcBorders>
              <w:bottom w:val="single" w:color="auto" w:sz="4" w:space="0"/>
            </w:tcBorders>
          </w:tcPr>
          <w:p>
            <w:pPr>
              <w:jc w:val="center"/>
              <w:rPr>
                <w:rFonts w:ascii="宋体" w:hAnsi="宋体" w:cs="宋体"/>
                <w:b/>
                <w:bCs/>
                <w:sz w:val="22"/>
              </w:rPr>
            </w:pPr>
            <w:r>
              <w:rPr>
                <w:rFonts w:hint="eastAsia" w:ascii="宋体" w:hAnsi="宋体" w:cs="宋体"/>
                <w:bCs/>
                <w:sz w:val="22"/>
              </w:rPr>
              <w:t>★★★★★</w:t>
            </w:r>
          </w:p>
        </w:tc>
        <w:tc>
          <w:tcPr>
            <w:tcW w:w="2693" w:type="dxa"/>
            <w:tcBorders>
              <w:bottom w:val="single" w:color="auto" w:sz="4" w:space="0"/>
            </w:tcBorders>
          </w:tcPr>
          <w:p>
            <w:pPr>
              <w:jc w:val="center"/>
              <w:rPr>
                <w:rFonts w:ascii="宋体" w:hAnsi="宋体" w:cs="宋体"/>
                <w:sz w:val="22"/>
              </w:rPr>
            </w:pPr>
            <w:r>
              <w:rPr>
                <w:rFonts w:hint="eastAsia" w:ascii="宋体" w:hAnsi="宋体" w:cs="宋体"/>
                <w:bCs/>
                <w:sz w:val="22"/>
              </w:rPr>
              <w:t>高</w:t>
            </w:r>
          </w:p>
        </w:tc>
      </w:tr>
    </w:tbl>
    <w:p>
      <w:pPr>
        <w:spacing w:line="360" w:lineRule="auto"/>
        <w:ind w:firstLine="422" w:firstLineChars="200"/>
        <w:rPr>
          <w:rFonts w:ascii="宋体" w:hAnsi="宋体"/>
          <w:color w:val="000000"/>
        </w:rPr>
      </w:pPr>
      <w:r>
        <w:rPr>
          <w:rFonts w:hint="eastAsia" w:ascii="宋体" w:hAnsi="宋体"/>
          <w:b/>
          <w:bCs/>
          <w:color w:val="000000"/>
        </w:rPr>
        <w:t>本产品经光大理财内部风险评级为较低风险产品（二星级）</w:t>
      </w:r>
      <w:r>
        <w:rPr>
          <w:rFonts w:hint="eastAsia" w:ascii="宋体" w:hAnsi="宋体"/>
          <w:color w:val="000000"/>
        </w:rPr>
        <w:t>，</w:t>
      </w:r>
      <w:r>
        <w:rPr>
          <w:rFonts w:ascii="宋体" w:hAnsi="宋体"/>
          <w:color w:val="000000"/>
        </w:rPr>
        <w:t>指</w:t>
      </w:r>
      <w:r>
        <w:rPr>
          <w:rFonts w:hint="eastAsia" w:ascii="宋体" w:hAnsi="宋体"/>
          <w:color w:val="000000"/>
        </w:rPr>
        <w:t>本</w:t>
      </w:r>
      <w:r>
        <w:rPr>
          <w:rFonts w:ascii="宋体" w:hAnsi="宋体"/>
          <w:color w:val="000000"/>
        </w:rPr>
        <w:t>理财产品的总体风险程度</w:t>
      </w:r>
      <w:r>
        <w:rPr>
          <w:rFonts w:hint="eastAsia" w:ascii="宋体" w:hAnsi="宋体"/>
          <w:color w:val="000000"/>
        </w:rPr>
        <w:t>较低，</w:t>
      </w:r>
      <w:r>
        <w:rPr>
          <w:rFonts w:ascii="宋体" w:hAnsi="宋体"/>
          <w:color w:val="000000"/>
        </w:rPr>
        <w:t>管理人不承诺本金</w:t>
      </w:r>
      <w:r>
        <w:rPr>
          <w:rFonts w:hint="eastAsia" w:ascii="宋体" w:hAnsi="宋体"/>
          <w:color w:val="000000"/>
        </w:rPr>
        <w:t>及收益</w:t>
      </w:r>
      <w:r>
        <w:rPr>
          <w:rFonts w:ascii="宋体" w:hAnsi="宋体"/>
          <w:color w:val="000000"/>
        </w:rPr>
        <w:t>保障</w:t>
      </w:r>
      <w:r>
        <w:rPr>
          <w:rFonts w:hint="eastAsia" w:ascii="宋体" w:hAnsi="宋体"/>
          <w:color w:val="000000"/>
        </w:rPr>
        <w:t>。该产品通过销售服务机构渠道销售的，理财产品评级应当以销售服务机构最终披露的评级结果为准。</w:t>
      </w:r>
    </w:p>
    <w:p>
      <w:pPr>
        <w:spacing w:line="360" w:lineRule="auto"/>
        <w:ind w:firstLine="422" w:firstLineChars="200"/>
        <w:outlineLvl w:val="0"/>
        <w:rPr>
          <w:rFonts w:ascii="宋体" w:hAnsi="宋体"/>
          <w:b/>
          <w:bCs/>
          <w:color w:val="000000"/>
        </w:rPr>
      </w:pPr>
      <w:r>
        <w:rPr>
          <w:rFonts w:hint="eastAsia" w:ascii="宋体" w:hAnsi="宋体"/>
          <w:b/>
          <w:bCs/>
          <w:color w:val="000000"/>
        </w:rPr>
        <w:t>三、投资者风险承受能力评估</w:t>
      </w:r>
    </w:p>
    <w:p>
      <w:pPr>
        <w:spacing w:line="360" w:lineRule="auto"/>
        <w:ind w:firstLine="420" w:firstLineChars="200"/>
        <w:jc w:val="left"/>
        <w:rPr>
          <w:rFonts w:ascii="宋体" w:hAnsi="宋体"/>
          <w:color w:val="000000"/>
        </w:rPr>
      </w:pPr>
      <w:r>
        <w:rPr>
          <w:rFonts w:hint="eastAsia" w:ascii="宋体" w:hAnsi="宋体"/>
          <w:color w:val="000000"/>
        </w:rPr>
        <w:t>（一）本理财产品全部销售工作及投资者适当性评估由销售服务机构负责。个人投资者首次通过销售服务机构购买理财产品，需要与销售服务机构签署相关协议，并按照该协议约定在销售服务机构销售渠道进行风险承受能力评估，并对评估结果签字确认。</w:t>
      </w:r>
    </w:p>
    <w:p>
      <w:pPr>
        <w:spacing w:line="360" w:lineRule="auto"/>
        <w:ind w:firstLine="420" w:firstLineChars="200"/>
        <w:jc w:val="left"/>
        <w:rPr>
          <w:rFonts w:ascii="宋体" w:hAnsi="宋体" w:cs="宋体"/>
          <w:color w:val="000000"/>
          <w:szCs w:val="21"/>
        </w:rPr>
      </w:pPr>
      <w:r>
        <w:rPr>
          <w:rFonts w:hint="eastAsia" w:ascii="宋体" w:hAnsi="宋体"/>
          <w:color w:val="000000"/>
        </w:rPr>
        <w:t>（二）个人投资者风险承受能力评估结果有效期为一年，</w:t>
      </w:r>
      <w:r>
        <w:rPr>
          <w:rFonts w:hint="eastAsia" w:ascii="宋体" w:hAnsi="宋体" w:cs="宋体"/>
          <w:color w:val="000000"/>
          <w:szCs w:val="21"/>
        </w:rPr>
        <w:t>如风险承受能力评估时效已超过一年，或</w:t>
      </w:r>
      <w:r>
        <w:rPr>
          <w:rFonts w:hint="eastAsia" w:ascii="宋体" w:hAnsi="宋体" w:cs="宋体"/>
          <w:b/>
          <w:bCs/>
          <w:color w:val="000000"/>
          <w:szCs w:val="21"/>
        </w:rPr>
        <w:t>影响风险承受能力的因素发生变化，请及时在本产品销售服务机构营业场所（含电子渠道）完成风险承受能力的重新评估。</w:t>
      </w:r>
    </w:p>
    <w:p>
      <w:pPr>
        <w:spacing w:line="360" w:lineRule="auto"/>
        <w:ind w:firstLine="420" w:firstLineChars="200"/>
        <w:jc w:val="left"/>
        <w:rPr>
          <w:rFonts w:ascii="宋体" w:hAnsi="宋体"/>
          <w:color w:val="000000"/>
        </w:rPr>
      </w:pPr>
      <w:r>
        <w:rPr>
          <w:rFonts w:hint="eastAsia" w:ascii="宋体" w:hAnsi="宋体" w:cs="宋体"/>
          <w:color w:val="000000"/>
          <w:szCs w:val="21"/>
        </w:rPr>
        <w:t>（三）</w:t>
      </w:r>
      <w:r>
        <w:rPr>
          <w:rFonts w:hint="eastAsia" w:ascii="宋体" w:hAnsi="宋体"/>
          <w:color w:val="000000"/>
        </w:rPr>
        <w:t>个人投资者风险承受能力评估流程</w:t>
      </w:r>
    </w:p>
    <w:p>
      <w:pPr>
        <w:spacing w:line="360" w:lineRule="auto"/>
        <w:ind w:firstLine="420" w:firstLineChars="200"/>
        <w:jc w:val="left"/>
        <w:rPr>
          <w:rFonts w:ascii="宋体" w:hAnsi="宋体"/>
          <w:color w:val="000000"/>
        </w:rPr>
      </w:pPr>
      <w:r>
        <w:rPr>
          <w:rFonts w:hint="eastAsia" w:ascii="宋体" w:hAnsi="宋体"/>
          <w:color w:val="000000"/>
        </w:rPr>
        <w:t>1.个人投资者在销售服务机构进行风险承受能力评估；</w:t>
      </w:r>
    </w:p>
    <w:p>
      <w:pPr>
        <w:spacing w:line="360" w:lineRule="auto"/>
        <w:ind w:firstLine="420" w:firstLineChars="200"/>
        <w:jc w:val="left"/>
        <w:rPr>
          <w:rFonts w:ascii="宋体" w:hAnsi="宋体"/>
          <w:color w:val="000000"/>
        </w:rPr>
      </w:pPr>
      <w:r>
        <w:rPr>
          <w:rFonts w:hint="eastAsia" w:ascii="宋体" w:hAnsi="宋体"/>
          <w:color w:val="000000"/>
        </w:rPr>
        <w:t>2.填写销售服务机构个人投资者风险承受能力测试问卷；</w:t>
      </w:r>
    </w:p>
    <w:p>
      <w:pPr>
        <w:spacing w:line="360" w:lineRule="auto"/>
        <w:ind w:firstLine="420" w:firstLineChars="200"/>
        <w:jc w:val="left"/>
        <w:rPr>
          <w:rFonts w:ascii="宋体" w:hAnsi="宋体"/>
          <w:color w:val="000000"/>
        </w:rPr>
      </w:pPr>
      <w:r>
        <w:rPr>
          <w:rFonts w:hint="eastAsia" w:ascii="宋体" w:hAnsi="宋体"/>
          <w:color w:val="000000"/>
        </w:rPr>
        <w:t>3.生成相应的个人投资者风险承受能力评估结果；</w:t>
      </w:r>
    </w:p>
    <w:p>
      <w:pPr>
        <w:spacing w:line="360" w:lineRule="auto"/>
        <w:ind w:firstLine="420" w:firstLineChars="200"/>
        <w:jc w:val="left"/>
        <w:rPr>
          <w:rFonts w:ascii="宋体" w:hAnsi="宋体"/>
          <w:color w:val="000000"/>
        </w:rPr>
      </w:pPr>
      <w:r>
        <w:rPr>
          <w:rFonts w:hint="eastAsia" w:ascii="宋体" w:hAnsi="宋体"/>
          <w:color w:val="000000"/>
        </w:rPr>
        <w:t>4.投资者对评估结果进行确认。</w:t>
      </w:r>
    </w:p>
    <w:p>
      <w:pPr>
        <w:spacing w:line="360" w:lineRule="auto"/>
        <w:ind w:firstLine="420" w:firstLineChars="200"/>
        <w:jc w:val="left"/>
        <w:rPr>
          <w:rFonts w:ascii="宋体" w:hAnsi="宋体"/>
          <w:color w:val="000000"/>
        </w:rPr>
      </w:pPr>
      <w:r>
        <w:rPr>
          <w:rFonts w:hint="eastAsia" w:ascii="宋体" w:hAnsi="宋体"/>
          <w:color w:val="000000"/>
        </w:rPr>
        <w:t>（四）</w:t>
      </w:r>
      <w:r>
        <w:rPr>
          <w:rFonts w:hint="eastAsia" w:ascii="宋体" w:hAnsi="宋体" w:cs="宋体"/>
          <w:color w:val="000000"/>
          <w:szCs w:val="21"/>
        </w:rPr>
        <w:t>风险承受能力评估结果</w:t>
      </w:r>
      <w:r>
        <w:rPr>
          <w:rFonts w:hint="eastAsia" w:ascii="宋体" w:hAnsi="宋体"/>
          <w:color w:val="000000"/>
        </w:rPr>
        <w:t>将作为评价个人投资者是否适合购买理财产品的重要因素，风险承受能力评级越高适合购买的理财产品风险评级越高，适合购买的理财产品类型越丰富。</w:t>
      </w:r>
    </w:p>
    <w:p>
      <w:pPr>
        <w:spacing w:line="360" w:lineRule="auto"/>
        <w:ind w:firstLine="420" w:firstLineChars="200"/>
        <w:jc w:val="left"/>
        <w:rPr>
          <w:rFonts w:ascii="宋体" w:hAnsi="宋体"/>
          <w:color w:val="000000"/>
        </w:rPr>
      </w:pPr>
      <w:r>
        <w:rPr>
          <w:rFonts w:hint="eastAsia" w:ascii="宋体" w:hAnsi="宋体"/>
          <w:color w:val="000000"/>
        </w:rPr>
        <w:t>（五）销售服务机构在代销过程中，可参考光大理财的产品风险评级结果，自行判断确定本理财产品的风险评级，但应确保</w:t>
      </w:r>
      <w:r>
        <w:rPr>
          <w:rFonts w:hint="eastAsia" w:ascii="宋体" w:hAnsi="宋体" w:cs="宋体"/>
          <w:color w:val="000000"/>
          <w:szCs w:val="21"/>
        </w:rPr>
        <w:t>个人投资者的风险承受能力等级不低于本理财产品风险评级</w:t>
      </w:r>
      <w:r>
        <w:rPr>
          <w:rFonts w:hint="eastAsia" w:ascii="宋体" w:hAnsi="宋体"/>
          <w:color w:val="000000"/>
        </w:rPr>
        <w:t>。</w:t>
      </w:r>
      <w:bookmarkStart w:id="0" w:name="_Hlk75178592"/>
      <w:r>
        <w:rPr>
          <w:rFonts w:hint="eastAsia" w:ascii="宋体" w:hAnsi="宋体"/>
          <w:color w:val="000000"/>
        </w:rPr>
        <w:t>销售服务机构评级与光大理财产品评级结果不一致的，销售服务机构应当采用对应较高风险等级的评级结果并予以披露。</w:t>
      </w:r>
      <w:bookmarkEnd w:id="0"/>
    </w:p>
    <w:p>
      <w:pPr>
        <w:spacing w:line="360" w:lineRule="auto"/>
        <w:ind w:firstLine="420" w:firstLineChars="200"/>
        <w:jc w:val="left"/>
        <w:rPr>
          <w:rFonts w:ascii="宋体" w:hAnsi="宋体"/>
          <w:color w:val="000000"/>
        </w:rPr>
      </w:pPr>
      <w:r>
        <w:rPr>
          <w:rFonts w:hint="eastAsia" w:ascii="宋体" w:hAnsi="宋体"/>
          <w:color w:val="000000"/>
        </w:rPr>
        <w:t>（六）机构投资者购买理财产品前无需进行风险评估能力测试。</w:t>
      </w:r>
    </w:p>
    <w:p>
      <w:pPr>
        <w:spacing w:line="360" w:lineRule="auto"/>
        <w:ind w:firstLine="422" w:firstLineChars="200"/>
        <w:outlineLvl w:val="0"/>
        <w:rPr>
          <w:rFonts w:ascii="宋体" w:hAnsi="宋体"/>
          <w:b/>
          <w:bCs/>
          <w:color w:val="000000"/>
        </w:rPr>
      </w:pPr>
      <w:r>
        <w:rPr>
          <w:rFonts w:hint="eastAsia" w:ascii="宋体" w:hAnsi="宋体"/>
          <w:b/>
          <w:bCs/>
          <w:color w:val="000000"/>
        </w:rPr>
        <w:t>四、理财产品信息披露</w:t>
      </w:r>
    </w:p>
    <w:p>
      <w:pPr>
        <w:spacing w:line="360" w:lineRule="auto"/>
        <w:ind w:firstLine="420" w:firstLineChars="200"/>
        <w:jc w:val="left"/>
        <w:rPr>
          <w:rFonts w:ascii="宋体" w:hAnsi="宋体"/>
          <w:color w:val="000000"/>
        </w:rPr>
      </w:pPr>
      <w:r>
        <w:rPr>
          <w:rFonts w:hint="eastAsia" w:ascii="宋体" w:hAnsi="宋体"/>
          <w:color w:val="000000"/>
        </w:rPr>
        <w:t>关于本</w:t>
      </w:r>
      <w:r>
        <w:rPr>
          <w:rFonts w:ascii="宋体" w:hAnsi="宋体"/>
          <w:color w:val="000000"/>
        </w:rPr>
        <w:t>理财产品相关信息的披露方式、渠道和频率，您可以</w:t>
      </w:r>
      <w:r>
        <w:rPr>
          <w:rFonts w:hint="eastAsia" w:ascii="宋体" w:hAnsi="宋体"/>
          <w:color w:val="000000"/>
        </w:rPr>
        <w:t>在理财产品说明书</w:t>
      </w:r>
      <w:r>
        <w:rPr>
          <w:rFonts w:ascii="宋体" w:hAnsi="宋体"/>
          <w:color w:val="000000"/>
        </w:rPr>
        <w:t>“信息披露”</w:t>
      </w:r>
      <w:r>
        <w:rPr>
          <w:rFonts w:hint="eastAsia" w:ascii="宋体" w:hAnsi="宋体"/>
          <w:color w:val="000000"/>
        </w:rPr>
        <w:t>章节</w:t>
      </w:r>
      <w:r>
        <w:rPr>
          <w:rFonts w:ascii="宋体" w:hAnsi="宋体"/>
          <w:color w:val="000000"/>
        </w:rPr>
        <w:t>中</w:t>
      </w:r>
      <w:r>
        <w:rPr>
          <w:rFonts w:hint="eastAsia" w:ascii="宋体" w:hAnsi="宋体"/>
          <w:color w:val="000000"/>
        </w:rPr>
        <w:t>查找到相关约定</w:t>
      </w:r>
      <w:r>
        <w:rPr>
          <w:rFonts w:ascii="宋体" w:hAnsi="宋体"/>
          <w:color w:val="000000"/>
        </w:rPr>
        <w:t>，</w:t>
      </w:r>
      <w:r>
        <w:rPr>
          <w:rFonts w:hint="eastAsia" w:ascii="宋体" w:hAnsi="宋体"/>
          <w:color w:val="000000"/>
        </w:rPr>
        <w:t>并</w:t>
      </w:r>
      <w:r>
        <w:rPr>
          <w:rFonts w:ascii="宋体" w:hAnsi="宋体"/>
          <w:color w:val="000000"/>
        </w:rPr>
        <w:t>通过</w:t>
      </w:r>
      <w:r>
        <w:rPr>
          <w:rFonts w:hint="eastAsia" w:ascii="宋体" w:hAnsi="宋体"/>
          <w:color w:val="000000"/>
        </w:rPr>
        <w:t>产品</w:t>
      </w:r>
      <w:r>
        <w:rPr>
          <w:rFonts w:ascii="宋体" w:hAnsi="宋体"/>
          <w:color w:val="000000"/>
        </w:rPr>
        <w:t>管理人</w:t>
      </w:r>
      <w:r>
        <w:rPr>
          <w:rFonts w:hint="eastAsia" w:ascii="宋体" w:hAnsi="宋体"/>
          <w:color w:val="000000"/>
        </w:rPr>
        <w:t>官方网站或销售服务机构网上销售平台查询具体披露信息。相关信息在发布或发出之日视为通知送达，请您及时查询。</w:t>
      </w:r>
    </w:p>
    <w:p>
      <w:pPr>
        <w:spacing w:line="360" w:lineRule="auto"/>
        <w:ind w:firstLine="422" w:firstLineChars="200"/>
        <w:outlineLvl w:val="0"/>
        <w:rPr>
          <w:rFonts w:ascii="宋体" w:hAnsi="宋体"/>
          <w:b/>
          <w:bCs/>
          <w:color w:val="000000"/>
        </w:rPr>
      </w:pPr>
      <w:r>
        <w:rPr>
          <w:rFonts w:hint="eastAsia" w:ascii="宋体" w:hAnsi="宋体"/>
          <w:b/>
          <w:bCs/>
          <w:color w:val="000000"/>
        </w:rPr>
        <w:t>五、投资者对理财产品的投诉方式和程序</w:t>
      </w:r>
    </w:p>
    <w:p>
      <w:pPr>
        <w:spacing w:line="360" w:lineRule="auto"/>
        <w:ind w:firstLine="422" w:firstLineChars="200"/>
        <w:jc w:val="left"/>
        <w:rPr>
          <w:rFonts w:ascii="宋体" w:hAnsi="宋体"/>
          <w:b/>
          <w:bCs/>
          <w:color w:val="000000"/>
        </w:rPr>
      </w:pPr>
      <w:r>
        <w:rPr>
          <w:rFonts w:hint="eastAsia" w:ascii="宋体" w:hAnsi="宋体"/>
          <w:b/>
          <w:bCs/>
          <w:color w:val="000000"/>
        </w:rPr>
        <w:t>投资者如认为销售服务机构推介、销售产品时有不实或未尽风险告知职责或其他疑义事项，或</w:t>
      </w:r>
      <w:r>
        <w:rPr>
          <w:rFonts w:ascii="宋体" w:hAnsi="宋体"/>
          <w:b/>
          <w:bCs/>
          <w:color w:val="000000"/>
        </w:rPr>
        <w:t>对理财产品、</w:t>
      </w:r>
      <w:r>
        <w:rPr>
          <w:rFonts w:hint="eastAsia" w:ascii="宋体" w:hAnsi="宋体"/>
          <w:b/>
          <w:bCs/>
          <w:color w:val="000000"/>
        </w:rPr>
        <w:t>销售服务机构</w:t>
      </w:r>
      <w:r>
        <w:rPr>
          <w:rFonts w:ascii="宋体" w:hAnsi="宋体"/>
          <w:b/>
          <w:bCs/>
          <w:color w:val="000000"/>
        </w:rPr>
        <w:t>及理财产品管理人服务有任何意见</w:t>
      </w:r>
      <w:r>
        <w:rPr>
          <w:rFonts w:hint="eastAsia" w:ascii="宋体" w:hAnsi="宋体"/>
          <w:b/>
          <w:bCs/>
          <w:color w:val="000000"/>
        </w:rPr>
        <w:t>或</w:t>
      </w:r>
      <w:r>
        <w:rPr>
          <w:rFonts w:ascii="宋体" w:hAnsi="宋体"/>
          <w:b/>
          <w:bCs/>
          <w:color w:val="000000"/>
        </w:rPr>
        <w:t>建议，</w:t>
      </w:r>
      <w:r>
        <w:rPr>
          <w:rFonts w:hint="eastAsia" w:ascii="宋体" w:hAnsi="宋体"/>
          <w:b/>
          <w:bCs/>
          <w:color w:val="000000"/>
        </w:rPr>
        <w:t>投资者可直接反馈至销售服务机构营业网点或理财销售人员，也可通过拨打销售服务机构或产品管理人客户服务热线进行反馈。销售服务机构或产品管理人将由专人接听、记录您的意见或建议，并由双方协商共同解决。</w:t>
      </w:r>
    </w:p>
    <w:p>
      <w:pPr>
        <w:spacing w:line="360" w:lineRule="auto"/>
        <w:ind w:firstLine="422" w:firstLineChars="200"/>
        <w:outlineLvl w:val="0"/>
        <w:rPr>
          <w:rFonts w:ascii="宋体" w:hAnsi="宋体"/>
          <w:b/>
          <w:bCs/>
          <w:color w:val="000000"/>
        </w:rPr>
      </w:pPr>
      <w:r>
        <w:rPr>
          <w:rFonts w:hint="eastAsia" w:ascii="宋体" w:hAnsi="宋体"/>
          <w:b/>
          <w:bCs/>
          <w:color w:val="000000"/>
        </w:rPr>
        <w:t>六、联络方式</w:t>
      </w:r>
    </w:p>
    <w:p>
      <w:pPr>
        <w:spacing w:line="360" w:lineRule="auto"/>
        <w:ind w:firstLine="422" w:firstLineChars="200"/>
        <w:outlineLvl w:val="1"/>
        <w:rPr>
          <w:rFonts w:ascii="宋体" w:hAnsi="宋体"/>
          <w:b/>
          <w:bCs/>
          <w:color w:val="000000"/>
        </w:rPr>
      </w:pPr>
      <w:r>
        <w:rPr>
          <w:rFonts w:hint="eastAsia" w:ascii="宋体" w:hAnsi="宋体"/>
          <w:b/>
          <w:bCs/>
          <w:color w:val="000000"/>
        </w:rPr>
        <w:t>（一）光大理财有限责任公司</w:t>
      </w:r>
    </w:p>
    <w:p>
      <w:pPr>
        <w:spacing w:line="360" w:lineRule="auto"/>
        <w:ind w:firstLine="422" w:firstLineChars="200"/>
        <w:rPr>
          <w:rFonts w:ascii="宋体" w:hAnsi="宋体"/>
          <w:b/>
          <w:bCs/>
          <w:color w:val="000000"/>
        </w:rPr>
      </w:pPr>
      <w:r>
        <w:rPr>
          <w:rFonts w:hint="eastAsia" w:ascii="宋体" w:hAnsi="宋体"/>
          <w:b/>
          <w:bCs/>
          <w:color w:val="000000"/>
        </w:rPr>
        <w:t>1.官方网站：http://www.cebwm.com</w:t>
      </w:r>
    </w:p>
    <w:p>
      <w:pPr>
        <w:spacing w:line="360" w:lineRule="auto"/>
        <w:ind w:firstLine="422" w:firstLineChars="200"/>
        <w:rPr>
          <w:rFonts w:ascii="宋体" w:hAnsi="宋体"/>
          <w:b/>
          <w:bCs/>
          <w:color w:val="000000"/>
        </w:rPr>
      </w:pPr>
      <w:r>
        <w:rPr>
          <w:rFonts w:hint="eastAsia" w:ascii="宋体" w:hAnsi="宋体"/>
          <w:b/>
          <w:bCs/>
          <w:color w:val="000000"/>
        </w:rPr>
        <w:t>2.光大理财</w:t>
      </w:r>
      <w:r>
        <w:rPr>
          <w:rFonts w:ascii="宋体" w:hAnsi="宋体"/>
          <w:b/>
          <w:bCs/>
          <w:color w:val="000000"/>
        </w:rPr>
        <w:t>客户服务热线：</w:t>
      </w:r>
      <w:r>
        <w:rPr>
          <w:rFonts w:hint="eastAsia" w:ascii="宋体" w:hAnsi="宋体"/>
          <w:b/>
          <w:bCs/>
          <w:color w:val="000000"/>
        </w:rPr>
        <w:t>400-889-5595</w:t>
      </w:r>
    </w:p>
    <w:p>
      <w:pPr>
        <w:spacing w:line="360" w:lineRule="auto"/>
        <w:ind w:firstLine="422" w:firstLineChars="200"/>
        <w:rPr>
          <w:rFonts w:ascii="宋体" w:hAnsi="宋体"/>
          <w:b/>
          <w:bCs/>
          <w:color w:val="000000"/>
        </w:rPr>
      </w:pPr>
      <w:r>
        <w:rPr>
          <w:rFonts w:hint="eastAsia" w:ascii="宋体" w:hAnsi="宋体"/>
          <w:b/>
          <w:bCs/>
          <w:color w:val="000000"/>
        </w:rPr>
        <w:t>3.若上述联系方式变更，光大理财将提前通过原官方网站及时告知投资者。</w:t>
      </w:r>
    </w:p>
    <w:p>
      <w:pPr>
        <w:spacing w:line="360" w:lineRule="auto"/>
        <w:ind w:firstLine="420" w:firstLineChars="200"/>
        <w:outlineLvl w:val="1"/>
        <w:rPr>
          <w:rFonts w:ascii="宋体" w:hAnsi="宋体"/>
          <w:color w:val="000000"/>
        </w:rPr>
      </w:pPr>
      <w:r>
        <w:rPr>
          <w:rFonts w:hint="eastAsia" w:ascii="宋体" w:hAnsi="宋体"/>
          <w:color w:val="000000"/>
        </w:rPr>
        <w:t>（二）销售服务机构联络方式详见销售服务机构提供的相关协议</w:t>
      </w:r>
    </w:p>
    <w:p>
      <w:pPr>
        <w:spacing w:line="360" w:lineRule="auto"/>
        <w:ind w:firstLine="420" w:firstLineChars="200"/>
        <w:rPr>
          <w:rFonts w:ascii="宋体" w:hAnsi="宋体"/>
          <w:color w:val="000000"/>
        </w:rPr>
      </w:pPr>
      <w:r>
        <w:rPr>
          <w:rFonts w:hint="eastAsia" w:ascii="宋体" w:hAnsi="宋体"/>
          <w:color w:val="000000"/>
        </w:rPr>
        <w:t>声明：本人/本公司（单位）知悉本理财产品完整销售文件包括理财产品投资协议书、销售（代理销售）协议书、理财产品说明书、风险揭示书、投资者权益须知等，本人/本公司（单位）确认已经收到本理财产品完整销售文件，且已经认真阅读、理解并接受所有条款及相关法律规定，确认已经获得满意的信息披露，理解并认可光大理财“</w:t>
      </w:r>
      <w:r>
        <w:rPr>
          <w:rFonts w:hint="eastAsia" w:ascii="宋体" w:hAnsi="宋体"/>
          <w:color w:val="000000"/>
          <w:lang w:eastAsia="zh-CN"/>
        </w:rPr>
        <w:t>阳光金增利稳健天天购3号（7天最低持有）</w:t>
      </w:r>
      <w:r>
        <w:rPr>
          <w:rFonts w:hint="eastAsia" w:ascii="宋体" w:hAnsi="宋体"/>
          <w:color w:val="000000"/>
        </w:rPr>
        <w:t>”理财产品的性质、风险及可能产生的损失，并愿意承担且有能力承担该等风险。</w:t>
      </w:r>
    </w:p>
    <w:p>
      <w:pPr>
        <w:spacing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br w:type="page"/>
      </w:r>
      <w:r>
        <w:rPr>
          <w:rFonts w:hint="eastAsia" w:ascii="黑体" w:hAnsi="黑体" w:eastAsia="黑体" w:cs="黑体"/>
          <w:b/>
          <w:bCs/>
          <w:color w:val="000000"/>
          <w:sz w:val="36"/>
          <w:szCs w:val="36"/>
        </w:rPr>
        <w:t>光大理财“</w:t>
      </w:r>
      <w:r>
        <w:rPr>
          <w:rFonts w:hint="eastAsia" w:ascii="黑体" w:hAnsi="黑体" w:eastAsia="黑体" w:cs="黑体"/>
          <w:b/>
          <w:bCs/>
          <w:color w:val="000000"/>
          <w:sz w:val="36"/>
          <w:szCs w:val="36"/>
          <w:lang w:eastAsia="zh-CN"/>
        </w:rPr>
        <w:t>阳光金增利稳健天天购3号（7天最低持有）</w:t>
      </w:r>
      <w:r>
        <w:rPr>
          <w:rFonts w:hint="eastAsia" w:ascii="黑体" w:hAnsi="黑体" w:eastAsia="黑体" w:cs="黑体"/>
          <w:b/>
          <w:bCs/>
          <w:color w:val="000000"/>
          <w:sz w:val="36"/>
          <w:szCs w:val="36"/>
        </w:rPr>
        <w:t>”</w:t>
      </w:r>
    </w:p>
    <w:p>
      <w:pPr>
        <w:spacing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理财产品说明书</w:t>
      </w:r>
    </w:p>
    <w:p>
      <w:pPr>
        <w:spacing w:line="360" w:lineRule="auto"/>
        <w:jc w:val="center"/>
        <w:rPr>
          <w:rFonts w:ascii="宋体" w:hAnsi="宋体" w:cs="宋体"/>
          <w:b/>
          <w:sz w:val="28"/>
          <w:szCs w:val="28"/>
        </w:rPr>
      </w:pPr>
      <w:r>
        <w:rPr>
          <w:rFonts w:hint="eastAsia" w:ascii="宋体" w:hAnsi="宋体" w:cs="宋体"/>
          <w:b/>
          <w:sz w:val="28"/>
          <w:szCs w:val="28"/>
        </w:rPr>
        <w:t>重要须知</w:t>
      </w:r>
    </w:p>
    <w:p>
      <w:pPr>
        <w:pStyle w:val="22"/>
        <w:numPr>
          <w:ilvl w:val="0"/>
          <w:numId w:val="2"/>
        </w:numPr>
        <w:spacing w:line="360" w:lineRule="auto"/>
        <w:ind w:left="-420" w:leftChars="-200" w:firstLineChars="0"/>
        <w:rPr>
          <w:rFonts w:ascii="宋体" w:hAnsi="宋体" w:cs="宋体"/>
          <w:b/>
          <w:bCs/>
          <w:color w:val="000000"/>
          <w:szCs w:val="21"/>
        </w:rPr>
      </w:pPr>
      <w:r>
        <w:rPr>
          <w:rFonts w:hint="eastAsia" w:ascii="宋体" w:hAnsi="宋体" w:cs="宋体"/>
          <w:szCs w:val="21"/>
        </w:rPr>
        <w:t>在购买本理财产品前，投资者应确保自己完全理解该项投资的性质和所涉及的风险，详细了解和审慎评估该理财产品的资金投向、风险类型等基本情况，在慎重考虑后自行决定购买与自身风险承受能力和资产管理需求匹配的理财产品。</w:t>
      </w:r>
    </w:p>
    <w:p>
      <w:pPr>
        <w:pStyle w:val="22"/>
        <w:numPr>
          <w:ilvl w:val="0"/>
          <w:numId w:val="2"/>
        </w:numPr>
        <w:spacing w:line="360" w:lineRule="auto"/>
        <w:ind w:left="-420" w:leftChars="-200" w:firstLineChars="0"/>
        <w:rPr>
          <w:rFonts w:ascii="宋体" w:hAnsi="宋体" w:cs="宋体"/>
          <w:szCs w:val="21"/>
        </w:rPr>
      </w:pPr>
      <w:r>
        <w:rPr>
          <w:rFonts w:hint="eastAsia" w:ascii="宋体" w:hAnsi="宋体" w:cs="宋体"/>
          <w:b/>
          <w:bCs/>
          <w:color w:val="000000"/>
          <w:szCs w:val="21"/>
        </w:rPr>
        <w:t>本理财产品不保证本金及收益，您的本金可能因市场变动而蒙受相应损失，投资者应充分认识投资风险，谨慎投资；本理财产品过往业绩不代表其未来表现，不等于理财产品实际收益，投资须谨慎；理财非存款、产品有风险、投资须谨慎。</w:t>
      </w:r>
    </w:p>
    <w:p>
      <w:pPr>
        <w:pStyle w:val="22"/>
        <w:numPr>
          <w:ilvl w:val="0"/>
          <w:numId w:val="2"/>
        </w:numPr>
        <w:spacing w:line="360" w:lineRule="auto"/>
        <w:ind w:left="-420" w:leftChars="-200" w:firstLineChars="0"/>
        <w:rPr>
          <w:rFonts w:ascii="宋体" w:hAnsi="宋体" w:cs="宋体"/>
          <w:szCs w:val="21"/>
        </w:rPr>
      </w:pPr>
      <w:r>
        <w:rPr>
          <w:rFonts w:hint="eastAsia" w:ascii="宋体" w:hAnsi="宋体" w:cs="宋体"/>
          <w:b/>
          <w:bCs/>
          <w:szCs w:val="21"/>
        </w:rPr>
        <w:t>本理财产品的任何业绩比较区间、业绩比较基准</w:t>
      </w:r>
      <w:r>
        <w:rPr>
          <w:rFonts w:hint="eastAsia" w:ascii="宋体" w:hAnsi="宋体" w:cs="宋体"/>
          <w:b/>
          <w:bCs/>
          <w:color w:val="000000"/>
          <w:szCs w:val="21"/>
        </w:rPr>
        <w:t>等</w:t>
      </w:r>
      <w:r>
        <w:rPr>
          <w:rFonts w:hint="eastAsia" w:ascii="宋体" w:hAnsi="宋体" w:cs="宋体"/>
          <w:b/>
          <w:bCs/>
          <w:szCs w:val="21"/>
        </w:rPr>
        <w:t>类似表述均属不具有法律约束力的用语，不代表投资者可能获得的实际收益，亦不构成光大理财有限责任公司（以下简称“光大理财”）对本理财产品的任何收益承诺。</w:t>
      </w:r>
    </w:p>
    <w:p>
      <w:pPr>
        <w:pStyle w:val="22"/>
        <w:numPr>
          <w:ilvl w:val="0"/>
          <w:numId w:val="2"/>
        </w:numPr>
        <w:spacing w:line="360" w:lineRule="auto"/>
        <w:ind w:left="-420" w:leftChars="-200" w:firstLineChars="0"/>
        <w:rPr>
          <w:rFonts w:ascii="宋体" w:hAnsi="宋体" w:cs="宋体"/>
          <w:szCs w:val="21"/>
        </w:rPr>
      </w:pPr>
      <w:r>
        <w:rPr>
          <w:rFonts w:hint="eastAsia" w:ascii="宋体" w:hAnsi="宋体" w:cs="宋体"/>
          <w:szCs w:val="21"/>
        </w:rPr>
        <w:t>《光大理财</w:t>
      </w:r>
      <w:bookmarkStart w:id="1" w:name="OLE_LINK3"/>
      <w:r>
        <w:rPr>
          <w:rFonts w:hint="eastAsia" w:ascii="宋体" w:hAnsi="宋体" w:cs="宋体"/>
          <w:szCs w:val="21"/>
        </w:rPr>
        <w:t>“</w:t>
      </w:r>
      <w:r>
        <w:rPr>
          <w:rFonts w:hint="eastAsia" w:ascii="宋体" w:hAnsi="宋体" w:cs="宋体"/>
          <w:szCs w:val="21"/>
          <w:lang w:eastAsia="zh-CN"/>
        </w:rPr>
        <w:t>阳光金增利稳健天天购3号（7天最低持有）</w:t>
      </w:r>
      <w:r>
        <w:rPr>
          <w:rFonts w:hint="eastAsia" w:ascii="宋体" w:hAnsi="宋体" w:cs="宋体"/>
          <w:szCs w:val="21"/>
        </w:rPr>
        <w:t>”</w:t>
      </w:r>
      <w:bookmarkEnd w:id="1"/>
      <w:r>
        <w:rPr>
          <w:rFonts w:hint="eastAsia" w:ascii="宋体" w:hAnsi="宋体" w:cs="宋体"/>
          <w:szCs w:val="21"/>
        </w:rPr>
        <w:t>理财产品说明书》《光大理财“</w:t>
      </w:r>
      <w:r>
        <w:rPr>
          <w:rFonts w:hint="eastAsia" w:ascii="宋体" w:hAnsi="宋体" w:cs="宋体"/>
          <w:szCs w:val="21"/>
          <w:lang w:eastAsia="zh-CN"/>
        </w:rPr>
        <w:t>阳光金增利稳健天天购3号（7天最低持有）</w:t>
      </w:r>
      <w:r>
        <w:rPr>
          <w:rFonts w:hint="eastAsia" w:ascii="宋体" w:hAnsi="宋体" w:cs="宋体"/>
          <w:szCs w:val="21"/>
        </w:rPr>
        <w:t>”理财产品风险揭示书》《投资者权益须知》《理财产品投资协议书》</w:t>
      </w:r>
      <w:bookmarkStart w:id="2" w:name="_Hlk75178698"/>
      <w:r>
        <w:rPr>
          <w:rFonts w:hint="eastAsia" w:ascii="宋体" w:hAnsi="宋体" w:cs="宋体"/>
          <w:szCs w:val="21"/>
        </w:rPr>
        <w:t>《</w:t>
      </w:r>
      <w:r>
        <w:rPr>
          <w:rFonts w:hint="eastAsia" w:ascii="宋体" w:hAnsi="宋体"/>
          <w:color w:val="000000"/>
          <w:szCs w:val="21"/>
        </w:rPr>
        <w:t>销售（代理销售）协议书</w:t>
      </w:r>
      <w:r>
        <w:rPr>
          <w:rFonts w:hint="eastAsia" w:ascii="宋体" w:hAnsi="宋体" w:cs="宋体"/>
          <w:szCs w:val="21"/>
        </w:rPr>
        <w:t>》等</w:t>
      </w:r>
      <w:bookmarkEnd w:id="2"/>
      <w:r>
        <w:rPr>
          <w:rFonts w:hint="eastAsia" w:ascii="宋体" w:hAnsi="宋体" w:cs="宋体"/>
          <w:szCs w:val="21"/>
        </w:rPr>
        <w:t>共同构成本理财产品完整的不可分割的理财产品销售文件。</w:t>
      </w:r>
    </w:p>
    <w:p>
      <w:pPr>
        <w:pStyle w:val="22"/>
        <w:numPr>
          <w:ilvl w:val="0"/>
          <w:numId w:val="2"/>
        </w:numPr>
        <w:spacing w:line="360" w:lineRule="auto"/>
        <w:ind w:left="-420" w:leftChars="-200" w:firstLineChars="0"/>
        <w:rPr>
          <w:rFonts w:ascii="宋体" w:hAnsi="宋体" w:cs="宋体"/>
          <w:szCs w:val="21"/>
        </w:rPr>
      </w:pPr>
      <w:r>
        <w:rPr>
          <w:rFonts w:hint="eastAsia" w:ascii="宋体" w:hAnsi="宋体" w:cs="宋体"/>
          <w:szCs w:val="21"/>
        </w:rPr>
        <w:t>本理财产品涉及的主要风险包括政策风险、信用风险、市场风险、流动性风险、管理风险、操作风险、产品不成立风险、兑付延期风险、提前终止风险、信息传递风险、销售风险</w:t>
      </w:r>
      <w:r>
        <w:rPr>
          <w:rFonts w:hint="eastAsia" w:ascii="宋体" w:hAnsi="宋体"/>
          <w:spacing w:val="-2"/>
          <w:szCs w:val="21"/>
        </w:rPr>
        <w:t>、关联关系及关联交易风险、投资者合规风险</w:t>
      </w:r>
      <w:r>
        <w:rPr>
          <w:rFonts w:hint="eastAsia" w:ascii="宋体" w:hAnsi="宋体" w:cs="宋体"/>
          <w:szCs w:val="21"/>
        </w:rPr>
        <w:t>及其他风险等。请仔细阅读《光大理财“</w:t>
      </w:r>
      <w:r>
        <w:rPr>
          <w:rFonts w:hint="eastAsia" w:ascii="宋体" w:hAnsi="宋体" w:cs="宋体"/>
          <w:szCs w:val="21"/>
          <w:lang w:eastAsia="zh-CN"/>
        </w:rPr>
        <w:t>阳光金增利稳健天天购3号（7天最低持有）</w:t>
      </w:r>
      <w:r>
        <w:rPr>
          <w:rFonts w:hint="eastAsia" w:ascii="宋体" w:hAnsi="宋体" w:cs="宋体"/>
          <w:szCs w:val="21"/>
        </w:rPr>
        <w:t>”理财产品风险揭示书》的“风险揭示”部分。</w:t>
      </w:r>
    </w:p>
    <w:p>
      <w:pPr>
        <w:pStyle w:val="22"/>
        <w:numPr>
          <w:ilvl w:val="0"/>
          <w:numId w:val="2"/>
        </w:numPr>
        <w:spacing w:line="360" w:lineRule="auto"/>
        <w:ind w:left="-420" w:leftChars="-200" w:firstLineChars="0"/>
        <w:rPr>
          <w:rFonts w:ascii="宋体" w:hAnsi="宋体" w:cs="宋体"/>
          <w:szCs w:val="21"/>
        </w:rPr>
      </w:pPr>
      <w:r>
        <w:rPr>
          <w:rFonts w:hint="eastAsia" w:ascii="宋体" w:hAnsi="宋体" w:cs="宋体"/>
          <w:szCs w:val="21"/>
        </w:rPr>
        <w:t>投资者不得使用贷款、发行债券等筹集的非自有资金投资本理财产品。</w:t>
      </w:r>
    </w:p>
    <w:p>
      <w:pPr>
        <w:pStyle w:val="24"/>
        <w:numPr>
          <w:ilvl w:val="0"/>
          <w:numId w:val="2"/>
        </w:numPr>
        <w:spacing w:line="360" w:lineRule="auto"/>
        <w:ind w:left="-420" w:leftChars="-200" w:firstLineChars="0"/>
        <w:rPr>
          <w:rFonts w:ascii="宋体" w:hAnsi="宋体" w:cs="宋体"/>
          <w:szCs w:val="21"/>
        </w:rPr>
      </w:pPr>
      <w:bookmarkStart w:id="3" w:name="_Hlk28677057"/>
      <w:r>
        <w:rPr>
          <w:rFonts w:hint="eastAsia" w:ascii="宋体" w:hAnsi="宋体" w:cs="宋体"/>
          <w:szCs w:val="21"/>
        </w:rPr>
        <w:t>本理财产品类型为</w:t>
      </w:r>
      <w:r>
        <w:rPr>
          <w:rFonts w:hint="eastAsia" w:ascii="宋体" w:hAnsi="宋体" w:cs="宋体"/>
          <w:b/>
          <w:bCs/>
          <w:szCs w:val="21"/>
          <w:u w:val="single"/>
        </w:rPr>
        <w:t>固定收益类，非保本浮动收益型</w:t>
      </w:r>
      <w:r>
        <w:rPr>
          <w:rFonts w:hint="eastAsia" w:ascii="宋体" w:hAnsi="宋体" w:cs="宋体"/>
          <w:szCs w:val="21"/>
        </w:rPr>
        <w:t>。若法律法规、国家监管政策或市场情况发生变化，光大理财在不改变产品类型的情况下，可对本说明书中已约定的投资范围、投资品种、投资比例以及收费项目、条件、标准、方式和收益分配原则进行调整。该调整事项将于生效前2个工作日通过产品管理人官方网站或销售服务机构网上销售平台进行书面公告以征求投资者意见。若本理财产品的投资者不接受上述调整（费率优惠除外），则应及时通过销售服务机构营业网点或网上销售平台赎回本产品（高风险类型的理财产品超出比例范围投资较低风险资产的情况除外）；若本理财产品投资者未赎回本产品，则视为本理财产品投资者对相关调整无异议并同意继续持有本理财产品。</w:t>
      </w:r>
      <w:bookmarkEnd w:id="3"/>
    </w:p>
    <w:p>
      <w:pPr>
        <w:pStyle w:val="22"/>
        <w:numPr>
          <w:ilvl w:val="0"/>
          <w:numId w:val="2"/>
        </w:numPr>
        <w:spacing w:line="360" w:lineRule="auto"/>
        <w:ind w:left="-24" w:leftChars="-200" w:hanging="396" w:hangingChars="189"/>
        <w:rPr>
          <w:rFonts w:ascii="宋体" w:hAnsi="宋体" w:cs="宋体"/>
          <w:szCs w:val="21"/>
        </w:rPr>
      </w:pPr>
      <w:r>
        <w:rPr>
          <w:rFonts w:hint="eastAsia" w:ascii="宋体" w:hAnsi="宋体" w:cs="宋体"/>
          <w:szCs w:val="21"/>
        </w:rPr>
        <w:t>在本产品存续期内，如因监管政策或法律法规发生变化，</w:t>
      </w:r>
      <w:r>
        <w:rPr>
          <w:rFonts w:hint="eastAsia"/>
        </w:rPr>
        <w:t>为了维持产品正常运作且在不实质损害投资者利益的前提下，</w:t>
      </w:r>
      <w:r>
        <w:rPr>
          <w:rFonts w:hint="eastAsia" w:ascii="宋体" w:hAnsi="宋体" w:cs="宋体"/>
          <w:szCs w:val="21"/>
        </w:rPr>
        <w:t>光大理财有权单方对本产品条款进行修订。</w:t>
      </w:r>
    </w:p>
    <w:p>
      <w:pPr>
        <w:pStyle w:val="22"/>
        <w:numPr>
          <w:ilvl w:val="0"/>
          <w:numId w:val="2"/>
        </w:numPr>
        <w:spacing w:line="360" w:lineRule="auto"/>
        <w:ind w:left="-21" w:leftChars="-200" w:hanging="399" w:hangingChars="190"/>
        <w:rPr>
          <w:rFonts w:ascii="宋体" w:hAnsi="宋体" w:cs="宋体"/>
          <w:szCs w:val="21"/>
        </w:rPr>
      </w:pPr>
      <w:r>
        <w:rPr>
          <w:rFonts w:hint="eastAsia" w:ascii="宋体" w:hAnsi="宋体" w:cs="宋体"/>
          <w:szCs w:val="21"/>
        </w:rPr>
        <w:t>在购买本理财产品后，投资者应随时关注该理财产品的信息披露情况，及时获取相关信息。</w:t>
      </w:r>
    </w:p>
    <w:p>
      <w:pPr>
        <w:pStyle w:val="22"/>
        <w:numPr>
          <w:ilvl w:val="0"/>
          <w:numId w:val="2"/>
        </w:numPr>
        <w:spacing w:line="360" w:lineRule="auto"/>
        <w:ind w:left="-24" w:leftChars="-200" w:hanging="396" w:hangingChars="189"/>
        <w:rPr>
          <w:rFonts w:ascii="宋体" w:hAnsi="宋体" w:cs="宋体"/>
          <w:szCs w:val="21"/>
        </w:rPr>
      </w:pPr>
      <w:r>
        <w:rPr>
          <w:rFonts w:hint="eastAsia" w:ascii="宋体" w:hAnsi="宋体" w:cs="宋体"/>
          <w:szCs w:val="21"/>
        </w:rPr>
        <w:t>投资者通过销售服务机构或直接与光大理财签署理财产品投资协议书等销售文件后，销售服务机构或光大理财在划款时，不再通过任何方式与投资者进行最后确认，直接划款。</w:t>
      </w:r>
    </w:p>
    <w:p>
      <w:pPr>
        <w:pStyle w:val="22"/>
        <w:spacing w:line="360" w:lineRule="auto"/>
        <w:ind w:firstLine="0" w:firstLineChars="0"/>
        <w:jc w:val="left"/>
        <w:rPr>
          <w:rFonts w:ascii="宋体" w:hAnsi="宋体" w:cs="宋体"/>
          <w:sz w:val="22"/>
        </w:rPr>
      </w:pPr>
    </w:p>
    <w:p>
      <w:pPr>
        <w:spacing w:line="360" w:lineRule="auto"/>
        <w:jc w:val="center"/>
        <w:outlineLvl w:val="0"/>
        <w:rPr>
          <w:rFonts w:ascii="宋体" w:hAnsi="宋体" w:cs="宋体"/>
          <w:b/>
          <w:sz w:val="28"/>
          <w:szCs w:val="28"/>
        </w:rPr>
      </w:pPr>
      <w:r>
        <w:rPr>
          <w:rFonts w:hint="eastAsia" w:ascii="宋体" w:hAnsi="宋体" w:cs="宋体"/>
          <w:b/>
          <w:sz w:val="28"/>
          <w:szCs w:val="28"/>
        </w:rPr>
        <w:t>一、产品要素</w:t>
      </w:r>
    </w:p>
    <w:p>
      <w:pPr>
        <w:spacing w:line="360" w:lineRule="auto"/>
        <w:ind w:firstLine="420" w:firstLineChars="200"/>
        <w:rPr>
          <w:rFonts w:ascii="宋体" w:hAnsi="宋体" w:cs="宋体"/>
          <w:szCs w:val="21"/>
        </w:rPr>
      </w:pPr>
      <w:r>
        <w:rPr>
          <w:rFonts w:hint="eastAsia" w:ascii="宋体" w:hAnsi="宋体" w:cs="宋体"/>
          <w:szCs w:val="21"/>
        </w:rPr>
        <w:t>为保护投资者合法权益，尊重投资者的知情权和自主选择权，现将本理财产品的基本条款说明如下：</w:t>
      </w:r>
    </w:p>
    <w:p>
      <w:pPr>
        <w:spacing w:line="360" w:lineRule="auto"/>
        <w:ind w:firstLine="422" w:firstLineChars="200"/>
        <w:rPr>
          <w:rFonts w:ascii="宋体" w:hAnsi="宋体" w:cs="宋体"/>
          <w:b/>
          <w:szCs w:val="21"/>
        </w:rPr>
      </w:pPr>
      <w:r>
        <w:rPr>
          <w:rFonts w:hint="eastAsia" w:ascii="宋体" w:hAnsi="宋体" w:cs="宋体"/>
          <w:b/>
          <w:szCs w:val="21"/>
        </w:rPr>
        <w:t>▲▲特别说明：</w:t>
      </w:r>
    </w:p>
    <w:p>
      <w:pPr>
        <w:spacing w:line="360" w:lineRule="auto"/>
        <w:ind w:firstLine="422" w:firstLineChars="200"/>
        <w:rPr>
          <w:rFonts w:ascii="宋体" w:hAnsi="宋体" w:cs="宋体"/>
          <w:b/>
          <w:szCs w:val="21"/>
        </w:rPr>
      </w:pPr>
      <w:r>
        <w:rPr>
          <w:rFonts w:hint="eastAsia" w:ascii="宋体" w:hAnsi="宋体" w:cs="宋体"/>
          <w:b/>
          <w:szCs w:val="21"/>
        </w:rPr>
        <w:t>1、本产品划分为</w:t>
      </w:r>
      <w:r>
        <w:rPr>
          <w:rFonts w:hint="eastAsia" w:ascii="宋体" w:hAnsi="宋体" w:cs="宋体"/>
          <w:b/>
          <w:szCs w:val="21"/>
          <w:lang w:eastAsia="zh-Hans"/>
        </w:rPr>
        <w:t>不同</w:t>
      </w:r>
      <w:r>
        <w:rPr>
          <w:rFonts w:hint="eastAsia" w:ascii="宋体" w:hAnsi="宋体" w:cs="宋体"/>
          <w:b/>
          <w:szCs w:val="21"/>
        </w:rPr>
        <w:t>份额，</w:t>
      </w:r>
      <w:r>
        <w:rPr>
          <w:rFonts w:hint="eastAsia" w:ascii="宋体" w:hAnsi="宋体" w:cs="宋体"/>
          <w:b/>
          <w:szCs w:val="21"/>
          <w:lang w:eastAsia="zh-Hans"/>
        </w:rPr>
        <w:t>各类</w:t>
      </w:r>
      <w:r>
        <w:rPr>
          <w:rFonts w:hint="eastAsia" w:ascii="宋体" w:hAnsi="宋体" w:cs="宋体"/>
          <w:b/>
          <w:szCs w:val="21"/>
        </w:rPr>
        <w:t>份额的差异性约定将在本产品说明书中进行明确列举说明。除明确约定所适用份额类别的条款外，其他条款适用于全部类别份额。</w:t>
      </w:r>
    </w:p>
    <w:p>
      <w:pPr>
        <w:spacing w:line="360" w:lineRule="auto"/>
        <w:ind w:firstLine="422" w:firstLineChars="200"/>
        <w:rPr>
          <w:rFonts w:ascii="宋体" w:hAnsi="宋体" w:cs="宋体"/>
          <w:b/>
          <w:szCs w:val="21"/>
        </w:rPr>
      </w:pPr>
      <w:r>
        <w:rPr>
          <w:rFonts w:hint="eastAsia" w:ascii="宋体" w:hAnsi="宋体" w:cs="宋体"/>
          <w:b/>
          <w:szCs w:val="21"/>
        </w:rPr>
        <w:t>2、投资者可通过本产品销售服务机构营业网点或网上销售平台展示的产品销售代码、销售名称确定拟购买的产品份额种类。</w:t>
      </w:r>
    </w:p>
    <w:p>
      <w:pPr>
        <w:spacing w:line="360" w:lineRule="auto"/>
        <w:ind w:firstLine="422" w:firstLineChars="200"/>
        <w:rPr>
          <w:rFonts w:ascii="宋体" w:hAnsi="宋体" w:cs="宋体"/>
          <w:b/>
          <w:szCs w:val="21"/>
        </w:rPr>
      </w:pPr>
      <w:r>
        <w:rPr>
          <w:rFonts w:hint="eastAsia" w:ascii="宋体" w:hAnsi="宋体" w:cs="宋体"/>
          <w:b/>
          <w:szCs w:val="21"/>
        </w:rPr>
        <w:t>3.理财产品份额分类是指，根据销售服务机构对不同客群设置的各类差异化销售安排，对本产品份额进行的区分。具体销售客群信息以销售服务机构设定为准。各类产品份额分设不同的销售名称及销售代码，分别设置销售服务费率、认（申）购金额与赎回份额，并分别计算和公布产品份额净值和份额累计净值。</w:t>
      </w:r>
    </w:p>
    <w:tbl>
      <w:tblPr>
        <w:tblStyle w:val="10"/>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417"/>
        <w:gridCol w:w="1560"/>
        <w:gridCol w:w="595"/>
        <w:gridCol w:w="167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产品名称</w:t>
            </w:r>
          </w:p>
        </w:tc>
        <w:tc>
          <w:tcPr>
            <w:tcW w:w="7513" w:type="dxa"/>
            <w:gridSpan w:val="5"/>
            <w:vAlign w:val="center"/>
          </w:tcPr>
          <w:p>
            <w:pPr>
              <w:widowControl/>
              <w:spacing w:line="300" w:lineRule="atLeast"/>
              <w:jc w:val="center"/>
              <w:textAlignment w:val="top"/>
              <w:rPr>
                <w:rFonts w:hint="eastAsia" w:ascii="宋体" w:hAnsi="宋体" w:eastAsia="宋体" w:cs="宋体"/>
                <w:szCs w:val="21"/>
                <w:lang w:eastAsia="zh-CN"/>
              </w:rPr>
            </w:pPr>
            <w:r>
              <w:rPr>
                <w:rFonts w:hint="eastAsia" w:ascii="宋体" w:hAnsi="宋体" w:cs="宋体"/>
                <w:szCs w:val="21"/>
                <w:lang w:eastAsia="zh-CN"/>
              </w:rPr>
              <w:t>阳光金增利稳健天天购3号（7天最低持有）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kern w:val="0"/>
                <w:szCs w:val="21"/>
              </w:rPr>
              <w:t>产品编号</w:t>
            </w:r>
          </w:p>
        </w:tc>
        <w:tc>
          <w:tcPr>
            <w:tcW w:w="7513" w:type="dxa"/>
            <w:gridSpan w:val="5"/>
            <w:vAlign w:val="center"/>
          </w:tcPr>
          <w:p>
            <w:pPr>
              <w:widowControl/>
              <w:spacing w:line="300" w:lineRule="atLeast"/>
              <w:jc w:val="center"/>
              <w:textAlignment w:val="top"/>
              <w:rPr>
                <w:rFonts w:hint="eastAsia" w:ascii="宋体" w:hAnsi="宋体" w:eastAsia="宋体" w:cs="宋体"/>
                <w:szCs w:val="21"/>
                <w:lang w:eastAsia="zh-CN"/>
              </w:rPr>
            </w:pPr>
            <w:r>
              <w:rPr>
                <w:rFonts w:hint="eastAsia" w:ascii="宋体" w:hAnsi="宋体" w:cs="宋体"/>
                <w:szCs w:val="21"/>
              </w:rPr>
              <w:t>EW</w:t>
            </w:r>
            <w:r>
              <w:rPr>
                <w:rFonts w:hint="eastAsia" w:ascii="宋体" w:hAnsi="宋体" w:cs="宋体"/>
                <w:szCs w:val="21"/>
                <w:lang w:eastAsia="zh-CN"/>
              </w:rPr>
              <w:t>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理财产品</w:t>
            </w:r>
          </w:p>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登记编码</w:t>
            </w:r>
          </w:p>
        </w:tc>
        <w:tc>
          <w:tcPr>
            <w:tcW w:w="7513" w:type="dxa"/>
            <w:gridSpan w:val="5"/>
            <w:vAlign w:val="center"/>
          </w:tcPr>
          <w:p>
            <w:pPr>
              <w:widowControl/>
              <w:spacing w:line="300" w:lineRule="atLeast"/>
              <w:jc w:val="center"/>
              <w:textAlignment w:val="top"/>
              <w:rPr>
                <w:rFonts w:hint="default" w:ascii="宋体" w:hAnsi="宋体" w:eastAsia="宋体" w:cs="宋体"/>
                <w:szCs w:val="21"/>
                <w:lang w:val="en-US" w:eastAsia="zh-CN"/>
              </w:rPr>
            </w:pPr>
            <w:r>
              <w:rPr>
                <w:rFonts w:hint="default" w:ascii="宋体" w:hAnsi="宋体" w:eastAsia="宋体" w:cs="宋体"/>
                <w:szCs w:val="21"/>
                <w:lang w:val="en-US" w:eastAsia="zh-CN"/>
              </w:rPr>
              <w:t>Z7001424000</w:t>
            </w:r>
            <w:r>
              <w:rPr>
                <w:rFonts w:hint="eastAsia" w:ascii="宋体" w:hAnsi="宋体" w:cs="宋体"/>
                <w:szCs w:val="21"/>
                <w:lang w:val="en-US" w:eastAsia="zh-CN"/>
              </w:rPr>
              <w:t>880</w:t>
            </w:r>
          </w:p>
          <w:p>
            <w:pPr>
              <w:widowControl/>
              <w:spacing w:line="300" w:lineRule="atLeast"/>
              <w:textAlignment w:val="top"/>
              <w:rPr>
                <w:rFonts w:ascii="宋体" w:hAnsi="宋体" w:cs="宋体"/>
                <w:kern w:val="0"/>
                <w:szCs w:val="21"/>
              </w:rPr>
            </w:pPr>
            <w:r>
              <w:rPr>
                <w:rFonts w:hint="eastAsia" w:ascii="宋体" w:hAnsi="宋体" w:cs="宋体"/>
                <w:szCs w:val="21"/>
              </w:rPr>
              <w:t>（投资者可依据该编码在中国理财网www.chinawealth.com.cn查询产品信息）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815" w:type="dxa"/>
            <w:vMerge w:val="restart"/>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br w:type="textWrapping"/>
            </w:r>
            <w:r>
              <w:rPr>
                <w:rFonts w:hint="eastAsia" w:ascii="宋体" w:hAnsi="宋体" w:cs="宋体"/>
                <w:b/>
                <w:kern w:val="0"/>
                <w:szCs w:val="21"/>
              </w:rPr>
              <w:br w:type="textWrapping"/>
            </w:r>
            <w:r>
              <w:rPr>
                <w:rFonts w:hint="eastAsia" w:ascii="宋体" w:hAnsi="宋体" w:cs="宋体"/>
                <w:b/>
                <w:kern w:val="0"/>
                <w:szCs w:val="21"/>
              </w:rPr>
              <w:br w:type="textWrapping"/>
            </w:r>
            <w:r>
              <w:rPr>
                <w:rFonts w:hint="eastAsia" w:ascii="宋体" w:hAnsi="宋体" w:cs="宋体"/>
                <w:b/>
                <w:kern w:val="0"/>
                <w:szCs w:val="21"/>
              </w:rPr>
              <w:t>份额分类</w:t>
            </w:r>
          </w:p>
        </w:tc>
        <w:tc>
          <w:tcPr>
            <w:tcW w:w="1417" w:type="dxa"/>
            <w:vAlign w:val="center"/>
          </w:tcPr>
          <w:p>
            <w:pPr>
              <w:widowControl/>
              <w:spacing w:line="300" w:lineRule="atLeast"/>
              <w:jc w:val="center"/>
              <w:textAlignment w:val="top"/>
              <w:rPr>
                <w:rFonts w:ascii="宋体" w:hAnsi="宋体" w:cs="宋体"/>
                <w:szCs w:val="21"/>
              </w:rPr>
            </w:pPr>
            <w:r>
              <w:rPr>
                <w:rFonts w:hint="eastAsia" w:ascii="宋体" w:hAnsi="宋体" w:cs="宋体"/>
                <w:kern w:val="0"/>
                <w:szCs w:val="21"/>
              </w:rPr>
              <w:t>份额名称</w:t>
            </w:r>
          </w:p>
        </w:tc>
        <w:tc>
          <w:tcPr>
            <w:tcW w:w="1560" w:type="dxa"/>
            <w:vAlign w:val="center"/>
          </w:tcPr>
          <w:p>
            <w:pPr>
              <w:widowControl/>
              <w:spacing w:line="300" w:lineRule="atLeast"/>
              <w:jc w:val="center"/>
              <w:textAlignment w:val="top"/>
              <w:rPr>
                <w:rFonts w:ascii="宋体" w:hAnsi="宋体" w:cs="宋体"/>
                <w:szCs w:val="21"/>
              </w:rPr>
            </w:pPr>
            <w:r>
              <w:rPr>
                <w:rFonts w:hint="eastAsia" w:ascii="宋体" w:hAnsi="宋体" w:cs="宋体"/>
                <w:kern w:val="0"/>
                <w:szCs w:val="21"/>
              </w:rPr>
              <w:t>销售代码</w:t>
            </w:r>
          </w:p>
        </w:tc>
        <w:tc>
          <w:tcPr>
            <w:tcW w:w="2268" w:type="dxa"/>
            <w:gridSpan w:val="2"/>
            <w:vAlign w:val="center"/>
          </w:tcPr>
          <w:p>
            <w:pPr>
              <w:widowControl/>
              <w:spacing w:line="300" w:lineRule="atLeast"/>
              <w:jc w:val="center"/>
              <w:textAlignment w:val="top"/>
              <w:rPr>
                <w:rFonts w:ascii="宋体" w:hAnsi="宋体" w:cs="宋体"/>
                <w:szCs w:val="21"/>
              </w:rPr>
            </w:pPr>
            <w:r>
              <w:rPr>
                <w:rFonts w:hint="eastAsia" w:ascii="宋体" w:hAnsi="宋体" w:cs="宋体"/>
                <w:kern w:val="0"/>
                <w:szCs w:val="21"/>
              </w:rPr>
              <w:t>销售名称</w:t>
            </w:r>
          </w:p>
        </w:tc>
        <w:tc>
          <w:tcPr>
            <w:tcW w:w="2268" w:type="dxa"/>
            <w:vAlign w:val="center"/>
          </w:tcPr>
          <w:p>
            <w:pPr>
              <w:widowControl/>
              <w:spacing w:line="300" w:lineRule="atLeast"/>
              <w:jc w:val="center"/>
              <w:textAlignment w:val="top"/>
              <w:rPr>
                <w:rFonts w:ascii="宋体" w:hAnsi="宋体" w:cs="宋体"/>
                <w:szCs w:val="21"/>
              </w:rPr>
            </w:pPr>
            <w:r>
              <w:rPr>
                <w:rFonts w:hint="eastAsia" w:ascii="宋体" w:hAnsi="宋体" w:cs="宋体"/>
                <w:kern w:val="0"/>
                <w:szCs w:val="21"/>
              </w:rPr>
              <w:t>销售客群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15" w:type="dxa"/>
            <w:vMerge w:val="continue"/>
            <w:vAlign w:val="center"/>
          </w:tcPr>
          <w:p>
            <w:pPr>
              <w:widowControl/>
              <w:spacing w:line="300" w:lineRule="atLeast"/>
              <w:jc w:val="center"/>
              <w:textAlignment w:val="top"/>
              <w:rPr>
                <w:rFonts w:ascii="宋体" w:hAnsi="宋体" w:cs="宋体"/>
                <w:b/>
                <w:kern w:val="0"/>
                <w:szCs w:val="21"/>
              </w:rPr>
            </w:pPr>
          </w:p>
        </w:tc>
        <w:tc>
          <w:tcPr>
            <w:tcW w:w="1417" w:type="dxa"/>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lang w:val="en-US" w:eastAsia="zh-CN"/>
              </w:rPr>
              <w:t>D</w:t>
            </w:r>
            <w:r>
              <w:rPr>
                <w:rFonts w:hint="eastAsia" w:ascii="宋体" w:hAnsi="宋体" w:cs="宋体"/>
                <w:kern w:val="0"/>
                <w:szCs w:val="21"/>
              </w:rPr>
              <w:t>类份额</w:t>
            </w:r>
          </w:p>
        </w:tc>
        <w:tc>
          <w:tcPr>
            <w:tcW w:w="1560" w:type="dxa"/>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rPr>
              <w:t>EW</w:t>
            </w:r>
            <w:r>
              <w:rPr>
                <w:rFonts w:hint="eastAsia" w:ascii="宋体" w:hAnsi="宋体" w:cs="宋体"/>
                <w:kern w:val="0"/>
                <w:szCs w:val="21"/>
                <w:lang w:eastAsia="zh-CN"/>
              </w:rPr>
              <w:t>2775</w:t>
            </w:r>
            <w:r>
              <w:rPr>
                <w:rFonts w:hint="eastAsia" w:ascii="宋体" w:hAnsi="宋体" w:cs="宋体"/>
                <w:kern w:val="0"/>
                <w:szCs w:val="21"/>
              </w:rPr>
              <w:t>D</w:t>
            </w:r>
          </w:p>
        </w:tc>
        <w:tc>
          <w:tcPr>
            <w:tcW w:w="2268" w:type="dxa"/>
            <w:gridSpan w:val="2"/>
            <w:vAlign w:val="center"/>
          </w:tcPr>
          <w:p>
            <w:pPr>
              <w:widowControl/>
              <w:spacing w:line="300" w:lineRule="atLeast"/>
              <w:jc w:val="center"/>
              <w:textAlignment w:val="top"/>
              <w:rPr>
                <w:rFonts w:ascii="宋体" w:hAnsi="宋体" w:cs="宋体"/>
                <w:szCs w:val="21"/>
              </w:rPr>
            </w:pPr>
            <w:r>
              <w:rPr>
                <w:rFonts w:hint="eastAsia" w:ascii="宋体" w:hAnsi="宋体" w:cs="宋体"/>
                <w:szCs w:val="21"/>
                <w:lang w:eastAsia="zh-CN"/>
              </w:rPr>
              <w:t>阳光金增利稳健天天购3号（7天最低持有）</w:t>
            </w:r>
            <w:r>
              <w:rPr>
                <w:rFonts w:hint="eastAsia" w:ascii="宋体" w:hAnsi="宋体" w:cs="宋体"/>
                <w:szCs w:val="21"/>
              </w:rPr>
              <w:t>D</w:t>
            </w:r>
          </w:p>
        </w:tc>
        <w:tc>
          <w:tcPr>
            <w:tcW w:w="2268" w:type="dxa"/>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lang w:val="en-US" w:eastAsia="zh-CN"/>
              </w:rPr>
              <w:t>D</w:t>
            </w:r>
            <w:r>
              <w:rPr>
                <w:rFonts w:hint="eastAsia" w:ascii="宋体" w:hAnsi="宋体" w:cs="宋体"/>
                <w:kern w:val="0"/>
                <w:szCs w:val="21"/>
              </w:rPr>
              <w:t>类份额客户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15" w:type="dxa"/>
            <w:vMerge w:val="continue"/>
            <w:vAlign w:val="center"/>
          </w:tcPr>
          <w:p>
            <w:pPr>
              <w:widowControl/>
              <w:spacing w:line="300" w:lineRule="atLeast"/>
              <w:jc w:val="center"/>
              <w:textAlignment w:val="top"/>
              <w:rPr>
                <w:rFonts w:ascii="宋体" w:hAnsi="宋体" w:cs="宋体"/>
                <w:b/>
                <w:kern w:val="0"/>
                <w:szCs w:val="21"/>
              </w:rPr>
            </w:pPr>
            <w:bookmarkStart w:id="4" w:name="OLE_LINK19" w:colFirst="1" w:colLast="1"/>
          </w:p>
        </w:tc>
        <w:tc>
          <w:tcPr>
            <w:tcW w:w="1417" w:type="dxa"/>
            <w:shd w:val="clear" w:color="auto" w:fill="auto"/>
            <w:vAlign w:val="center"/>
          </w:tcPr>
          <w:p>
            <w:pPr>
              <w:widowControl/>
              <w:spacing w:line="300" w:lineRule="atLeast"/>
              <w:jc w:val="center"/>
              <w:textAlignment w:val="top"/>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H</w:t>
            </w:r>
            <w:r>
              <w:rPr>
                <w:rFonts w:hint="eastAsia" w:ascii="宋体" w:hAnsi="宋体" w:cs="宋体"/>
                <w:kern w:val="0"/>
                <w:szCs w:val="21"/>
              </w:rPr>
              <w:t>类份额</w:t>
            </w:r>
          </w:p>
        </w:tc>
        <w:tc>
          <w:tcPr>
            <w:tcW w:w="1560" w:type="dxa"/>
            <w:shd w:val="clear" w:color="auto" w:fill="auto"/>
            <w:vAlign w:val="center"/>
          </w:tcPr>
          <w:p>
            <w:pPr>
              <w:widowControl/>
              <w:spacing w:line="300" w:lineRule="atLeast"/>
              <w:jc w:val="center"/>
              <w:textAlignment w:val="top"/>
              <w:rPr>
                <w:rFonts w:hint="eastAsia" w:ascii="宋体" w:hAnsi="宋体" w:eastAsia="宋体" w:cs="宋体"/>
                <w:kern w:val="0"/>
                <w:sz w:val="21"/>
                <w:szCs w:val="21"/>
                <w:lang w:val="en-US" w:eastAsia="zh-CN" w:bidi="ar-SA"/>
              </w:rPr>
            </w:pPr>
            <w:r>
              <w:rPr>
                <w:rFonts w:hint="eastAsia" w:ascii="宋体" w:hAnsi="宋体" w:cs="宋体"/>
                <w:kern w:val="0"/>
                <w:szCs w:val="21"/>
              </w:rPr>
              <w:t>EW</w:t>
            </w:r>
            <w:r>
              <w:rPr>
                <w:rFonts w:hint="eastAsia" w:ascii="宋体" w:hAnsi="宋体" w:cs="宋体"/>
                <w:kern w:val="0"/>
                <w:szCs w:val="21"/>
                <w:lang w:eastAsia="zh-CN"/>
              </w:rPr>
              <w:t>2775</w:t>
            </w:r>
            <w:r>
              <w:rPr>
                <w:rFonts w:hint="eastAsia" w:ascii="宋体" w:hAnsi="宋体" w:cs="宋体"/>
                <w:kern w:val="0"/>
                <w:szCs w:val="21"/>
                <w:lang w:val="en-US" w:eastAsia="zh-CN"/>
              </w:rPr>
              <w:t>H</w:t>
            </w:r>
          </w:p>
        </w:tc>
        <w:tc>
          <w:tcPr>
            <w:tcW w:w="2268" w:type="dxa"/>
            <w:gridSpan w:val="2"/>
            <w:shd w:val="clear" w:color="auto" w:fill="auto"/>
            <w:vAlign w:val="center"/>
          </w:tcPr>
          <w:p>
            <w:pPr>
              <w:widowControl/>
              <w:spacing w:line="300" w:lineRule="atLeast"/>
              <w:jc w:val="center"/>
              <w:textAlignment w:val="top"/>
              <w:rPr>
                <w:rFonts w:hint="eastAsia" w:ascii="宋体" w:hAnsi="宋体" w:eastAsia="宋体" w:cs="宋体"/>
                <w:kern w:val="2"/>
                <w:sz w:val="21"/>
                <w:szCs w:val="21"/>
                <w:lang w:val="en-US" w:eastAsia="zh-CN" w:bidi="ar-SA"/>
              </w:rPr>
            </w:pPr>
            <w:r>
              <w:rPr>
                <w:rFonts w:hint="eastAsia" w:ascii="宋体" w:hAnsi="宋体" w:cs="宋体"/>
                <w:szCs w:val="21"/>
                <w:lang w:eastAsia="zh-CN"/>
              </w:rPr>
              <w:t>阳光金增利稳健天天购3号（7天最低持有）</w:t>
            </w:r>
            <w:r>
              <w:rPr>
                <w:rFonts w:hint="eastAsia" w:ascii="宋体" w:hAnsi="宋体" w:cs="宋体"/>
                <w:szCs w:val="21"/>
                <w:lang w:val="en-US" w:eastAsia="zh-CN"/>
              </w:rPr>
              <w:t>H</w:t>
            </w:r>
          </w:p>
        </w:tc>
        <w:tc>
          <w:tcPr>
            <w:tcW w:w="2268" w:type="dxa"/>
            <w:shd w:val="clear" w:color="auto" w:fill="auto"/>
            <w:vAlign w:val="center"/>
          </w:tcPr>
          <w:p>
            <w:pPr>
              <w:widowControl/>
              <w:spacing w:line="300" w:lineRule="atLeast"/>
              <w:jc w:val="center"/>
              <w:textAlignment w:val="top"/>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H</w:t>
            </w:r>
            <w:r>
              <w:rPr>
                <w:rFonts w:hint="eastAsia" w:ascii="宋体" w:hAnsi="宋体" w:cs="宋体"/>
                <w:kern w:val="0"/>
                <w:szCs w:val="21"/>
              </w:rPr>
              <w:t>类份额客户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产品管理人</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szCs w:val="21"/>
              </w:rPr>
              <w:t>光大理财有限责任公司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产品托管人</w:t>
            </w:r>
          </w:p>
        </w:tc>
        <w:tc>
          <w:tcPr>
            <w:tcW w:w="7513" w:type="dxa"/>
            <w:gridSpan w:val="5"/>
            <w:vAlign w:val="center"/>
          </w:tcPr>
          <w:p>
            <w:pPr>
              <w:widowControl/>
              <w:spacing w:line="300" w:lineRule="atLeast"/>
              <w:jc w:val="center"/>
              <w:textAlignment w:val="top"/>
              <w:rPr>
                <w:rFonts w:ascii="宋体" w:hAnsi="宋体" w:cs="宋体"/>
                <w:szCs w:val="21"/>
              </w:rPr>
            </w:pPr>
            <w:r>
              <w:rPr>
                <w:rFonts w:hint="eastAsia" w:ascii="宋体" w:hAnsi="宋体" w:cs="宋体"/>
                <w:szCs w:val="21"/>
              </w:rPr>
              <w:t>中国光大银行股份有限公司</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产品内部</w:t>
            </w:r>
          </w:p>
          <w:p>
            <w:pPr>
              <w:widowControl/>
              <w:spacing w:line="300" w:lineRule="atLeast"/>
              <w:jc w:val="center"/>
              <w:textAlignment w:val="top"/>
              <w:rPr>
                <w:rFonts w:ascii="宋体" w:hAnsi="宋体" w:cs="宋体"/>
                <w:b/>
                <w:szCs w:val="21"/>
              </w:rPr>
            </w:pPr>
            <w:r>
              <w:rPr>
                <w:rFonts w:hint="eastAsia" w:ascii="宋体" w:hAnsi="宋体" w:cs="宋体"/>
                <w:b/>
                <w:kern w:val="0"/>
                <w:szCs w:val="21"/>
              </w:rPr>
              <w:t>风险评级</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rPr>
              <w:t>二星级（本评级为光大理财有限责任公司内部评级，仅供参考）</w:t>
            </w:r>
          </w:p>
          <w:p>
            <w:pPr>
              <w:widowControl/>
              <w:spacing w:line="300" w:lineRule="atLeast"/>
              <w:jc w:val="left"/>
              <w:textAlignment w:val="top"/>
              <w:rPr>
                <w:rFonts w:ascii="宋体" w:hAnsi="宋体" w:cs="宋体"/>
                <w:szCs w:val="21"/>
              </w:rPr>
            </w:pPr>
            <w:r>
              <w:rPr>
                <w:rFonts w:hint="eastAsia" w:ascii="宋体" w:hAnsi="宋体" w:cs="宋体"/>
                <w:kern w:val="0"/>
                <w:szCs w:val="21"/>
              </w:rPr>
              <w:t>本产品通过销售服务机构销售的，产品风险评级应当以销售服务机构最终披露的评级结果为准。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产品类型</w:t>
            </w:r>
          </w:p>
        </w:tc>
        <w:tc>
          <w:tcPr>
            <w:tcW w:w="7513" w:type="dxa"/>
            <w:gridSpan w:val="5"/>
            <w:vAlign w:val="center"/>
          </w:tcPr>
          <w:p>
            <w:pPr>
              <w:widowControl/>
              <w:spacing w:line="300" w:lineRule="atLeast"/>
              <w:jc w:val="center"/>
              <w:textAlignment w:val="top"/>
              <w:rPr>
                <w:rFonts w:ascii="宋体" w:hAnsi="宋体" w:cs="宋体"/>
                <w:kern w:val="0"/>
                <w:szCs w:val="21"/>
              </w:rPr>
            </w:pPr>
            <w:bookmarkStart w:id="5" w:name="OLE_LINK24"/>
            <w:r>
              <w:rPr>
                <w:rFonts w:hint="eastAsia" w:ascii="宋体" w:hAnsi="宋体" w:cs="宋体"/>
                <w:kern w:val="0"/>
                <w:szCs w:val="21"/>
              </w:rPr>
              <w:t>固定收益类，非保本浮动收益型</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产品运作模式</w:t>
            </w:r>
          </w:p>
        </w:tc>
        <w:tc>
          <w:tcPr>
            <w:tcW w:w="7513" w:type="dxa"/>
            <w:gridSpan w:val="5"/>
            <w:vAlign w:val="center"/>
          </w:tcPr>
          <w:p>
            <w:pPr>
              <w:widowControl/>
              <w:spacing w:line="300" w:lineRule="atLeast"/>
              <w:jc w:val="center"/>
              <w:textAlignment w:val="top"/>
              <w:rPr>
                <w:rFonts w:ascii="宋体" w:hAnsi="宋体" w:cs="宋体"/>
                <w:szCs w:val="21"/>
              </w:rPr>
            </w:pPr>
            <w:r>
              <w:rPr>
                <w:rFonts w:hint="eastAsia" w:ascii="宋体" w:hAnsi="宋体" w:cs="宋体"/>
                <w:szCs w:val="21"/>
              </w:rPr>
              <w:t>开放式净值型产品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产品募集方式</w:t>
            </w:r>
          </w:p>
        </w:tc>
        <w:tc>
          <w:tcPr>
            <w:tcW w:w="7513" w:type="dxa"/>
            <w:gridSpan w:val="5"/>
            <w:vAlign w:val="center"/>
          </w:tcPr>
          <w:p>
            <w:pPr>
              <w:widowControl/>
              <w:spacing w:line="300" w:lineRule="atLeast"/>
              <w:jc w:val="center"/>
              <w:textAlignment w:val="top"/>
              <w:rPr>
                <w:rFonts w:ascii="宋体" w:hAnsi="宋体" w:cs="宋体"/>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bookmarkStart w:id="6" w:name="OLE_LINK25" w:colFirst="1" w:colLast="1"/>
            <w:r>
              <w:rPr>
                <w:rFonts w:hint="eastAsia" w:ascii="宋体" w:hAnsi="宋体" w:cs="宋体"/>
                <w:b/>
                <w:szCs w:val="21"/>
              </w:rPr>
              <w:t>销售对象</w:t>
            </w:r>
          </w:p>
        </w:tc>
        <w:tc>
          <w:tcPr>
            <w:tcW w:w="7513" w:type="dxa"/>
            <w:gridSpan w:val="5"/>
            <w:vAlign w:val="center"/>
          </w:tcPr>
          <w:p>
            <w:pPr>
              <w:widowControl/>
              <w:spacing w:line="300" w:lineRule="atLeast"/>
              <w:textAlignment w:val="top"/>
              <w:rPr>
                <w:rFonts w:ascii="宋体" w:hAnsi="宋体" w:cs="宋体"/>
                <w:szCs w:val="21"/>
              </w:rPr>
            </w:pPr>
            <w:r>
              <w:rPr>
                <w:rFonts w:hint="eastAsia" w:ascii="宋体" w:hAnsi="宋体" w:cs="宋体"/>
                <w:szCs w:val="21"/>
              </w:rPr>
              <w:t>本产品面向不特定社会公众（个人和机构投资者）销售。其中个人投资者为符合相关法律法规、监管规定要求的，经销售服务机构评估的与本产品风险等级相适应的个人投资者。</w:t>
            </w:r>
          </w:p>
          <w:p>
            <w:pPr>
              <w:widowControl/>
              <w:spacing w:line="300" w:lineRule="atLeast"/>
              <w:textAlignment w:val="top"/>
              <w:rPr>
                <w:rFonts w:ascii="宋体" w:hAnsi="宋体" w:cs="宋体"/>
                <w:szCs w:val="21"/>
              </w:rPr>
            </w:pPr>
            <w:r>
              <w:rPr>
                <w:rFonts w:hint="eastAsia" w:ascii="宋体" w:hAnsi="宋体" w:cs="宋体"/>
                <w:szCs w:val="21"/>
              </w:rPr>
              <w:t>本产品通过销售服务机构销售的，产品风险评级应当以销售服务机构最终披露的评级结果为准。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投资者集中度</w:t>
            </w:r>
          </w:p>
        </w:tc>
        <w:tc>
          <w:tcPr>
            <w:tcW w:w="7513" w:type="dxa"/>
            <w:gridSpan w:val="5"/>
            <w:vAlign w:val="center"/>
          </w:tcPr>
          <w:p>
            <w:pPr>
              <w:widowControl/>
              <w:spacing w:line="300" w:lineRule="atLeast"/>
              <w:textAlignment w:val="top"/>
              <w:rPr>
                <w:rFonts w:ascii="宋体" w:hAnsi="宋体" w:cs="宋体"/>
                <w:szCs w:val="21"/>
              </w:rPr>
            </w:pPr>
            <w:r>
              <w:rPr>
                <w:rFonts w:hint="eastAsia" w:ascii="宋体" w:hAnsi="宋体" w:cs="宋体"/>
                <w:b/>
                <w:bCs/>
                <w:szCs w:val="21"/>
              </w:rPr>
              <w:t>本产品单一投资者持有本理财产品份额不可超过产品总份额的50%。若超过此限制，管理人有权拒绝该投资人的全部或者超出部分的购买申请。非因管理人主观因素导致突破上述比例限制的，在单一投资者持有份额比例降至50%以下之前，管理人不再接受该投资者对本理财产品的购买申请。</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szCs w:val="21"/>
              </w:rPr>
              <w:t>募集币种</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szCs w:val="21"/>
              </w:rPr>
              <w:t>业绩比较基准（年化）</w:t>
            </w:r>
          </w:p>
        </w:tc>
        <w:tc>
          <w:tcPr>
            <w:tcW w:w="7513" w:type="dxa"/>
            <w:gridSpan w:val="5"/>
            <w:vAlign w:val="center"/>
          </w:tcPr>
          <w:p>
            <w:pPr>
              <w:widowControl/>
              <w:spacing w:line="300" w:lineRule="atLeast"/>
              <w:jc w:val="center"/>
              <w:textAlignment w:val="top"/>
              <w:rPr>
                <w:rFonts w:hint="eastAsia" w:ascii="宋体" w:hAnsi="宋体" w:cs="宋体"/>
                <w:szCs w:val="21"/>
                <w:lang w:val="en-US" w:eastAsia="zh-CN"/>
              </w:rPr>
            </w:pPr>
            <w:bookmarkStart w:id="7" w:name="OLE_LINK26"/>
            <w:r>
              <w:rPr>
                <w:rFonts w:hint="eastAsia" w:ascii="宋体" w:hAnsi="宋体" w:cs="宋体"/>
                <w:szCs w:val="21"/>
                <w:lang w:val="en-US" w:eastAsia="zh-CN"/>
              </w:rPr>
              <w:t>D</w:t>
            </w:r>
            <w:r>
              <w:rPr>
                <w:rFonts w:hint="eastAsia" w:ascii="宋体" w:hAnsi="宋体" w:cs="宋体"/>
                <w:szCs w:val="21"/>
              </w:rPr>
              <w:t>类份额：</w:t>
            </w:r>
            <w:r>
              <w:rPr>
                <w:rFonts w:hint="eastAsia" w:ascii="宋体" w:hAnsi="宋体" w:cs="宋体"/>
                <w:szCs w:val="21"/>
                <w:lang w:val="en-US" w:eastAsia="zh-CN"/>
              </w:rPr>
              <w:t>1.90%-2.90%</w:t>
            </w:r>
          </w:p>
          <w:p>
            <w:pPr>
              <w:widowControl/>
              <w:spacing w:line="300" w:lineRule="atLeast"/>
              <w:jc w:val="center"/>
              <w:textAlignment w:val="top"/>
              <w:rPr>
                <w:rFonts w:hint="eastAsia" w:ascii="宋体" w:hAnsi="宋体" w:cs="宋体"/>
                <w:szCs w:val="21"/>
                <w:lang w:val="en-US" w:eastAsia="zh-CN"/>
              </w:rPr>
            </w:pPr>
            <w:r>
              <w:rPr>
                <w:rFonts w:hint="eastAsia" w:ascii="宋体" w:hAnsi="宋体" w:cs="宋体"/>
                <w:szCs w:val="21"/>
                <w:lang w:val="en-US" w:eastAsia="zh-CN"/>
              </w:rPr>
              <w:t>H</w:t>
            </w:r>
            <w:r>
              <w:rPr>
                <w:rFonts w:hint="eastAsia" w:ascii="宋体" w:hAnsi="宋体" w:cs="宋体"/>
                <w:szCs w:val="21"/>
              </w:rPr>
              <w:t>类份额：</w:t>
            </w:r>
            <w:r>
              <w:rPr>
                <w:rFonts w:hint="eastAsia" w:ascii="宋体" w:hAnsi="宋体" w:cs="宋体"/>
                <w:szCs w:val="21"/>
                <w:lang w:val="en-US" w:eastAsia="zh-CN"/>
              </w:rPr>
              <w:t>2.00%-3.00%</w:t>
            </w:r>
          </w:p>
          <w:p>
            <w:pPr>
              <w:widowControl/>
              <w:spacing w:line="300" w:lineRule="atLeast"/>
              <w:textAlignment w:val="top"/>
              <w:rPr>
                <w:rFonts w:ascii="宋体" w:hAnsi="宋体" w:cs="宋体"/>
                <w:szCs w:val="21"/>
              </w:rPr>
            </w:pPr>
            <w:r>
              <w:rPr>
                <w:rFonts w:hint="eastAsia" w:ascii="宋体" w:hAnsi="宋体" w:cs="宋体"/>
                <w:szCs w:val="21"/>
              </w:rPr>
              <w:t>本产品主要投资于债券等，适度投资于优先股，业绩比较基准根据策略目标基准中债综合财富指数等历史数据进行测算。业绩比较基准是管理人基于产品性质、投资策略、过往经验等因素对产品设定的投资目标，业绩比较基准不是预期收益率，不代表产品的未来表现和实际收益，不构成对产品收益的承诺。</w:t>
            </w:r>
          </w:p>
          <w:p>
            <w:pPr>
              <w:widowControl/>
              <w:spacing w:line="300" w:lineRule="atLeast"/>
              <w:textAlignment w:val="top"/>
              <w:rPr>
                <w:rFonts w:ascii="宋体" w:hAnsi="宋体" w:cs="宋体"/>
                <w:kern w:val="0"/>
                <w:szCs w:val="21"/>
              </w:rPr>
            </w:pPr>
            <w:r>
              <w:rPr>
                <w:rFonts w:hint="eastAsia" w:ascii="宋体" w:hAnsi="宋体" w:cs="宋体"/>
                <w:szCs w:val="21"/>
              </w:rPr>
              <w:t>各类产品份额业绩比较基准存在差异仅因销售服务机构对各类份额收取的销售服务费率不同所致。（本产品的业绩比较基准可根据当时市场情况进行调整，调整后的业绩比较基准将根据信息披露规则进行披露。</w:t>
            </w:r>
            <w:r>
              <w:rPr>
                <w:rFonts w:hint="eastAsia" w:ascii="宋体" w:hAnsi="宋体" w:cs="宋体"/>
                <w:b/>
                <w:bCs/>
                <w:szCs w:val="21"/>
                <w:u w:val="single"/>
              </w:rPr>
              <w:t>请投资者及时通过本销售文件约定的信息披露渠道获取最新业绩比较基准情况</w:t>
            </w:r>
            <w:r>
              <w:rPr>
                <w:rFonts w:hint="eastAsia" w:ascii="宋体" w:hAnsi="宋体" w:cs="宋体"/>
                <w:b/>
                <w:bCs/>
                <w:szCs w:val="21"/>
              </w:rPr>
              <w:t>。）</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起点金额/递增金额</w:t>
            </w:r>
          </w:p>
        </w:tc>
        <w:tc>
          <w:tcPr>
            <w:tcW w:w="7513" w:type="dxa"/>
            <w:gridSpan w:val="5"/>
            <w:vAlign w:val="center"/>
          </w:tcPr>
          <w:p>
            <w:pPr>
              <w:widowControl/>
              <w:spacing w:line="300" w:lineRule="atLeast"/>
              <w:jc w:val="center"/>
              <w:textAlignment w:val="top"/>
              <w:rPr>
                <w:rFonts w:hint="eastAsia" w:ascii="宋体" w:hAnsi="宋体" w:cs="宋体"/>
                <w:szCs w:val="21"/>
              </w:rPr>
            </w:pPr>
            <w:bookmarkStart w:id="8" w:name="OLE_LINK1"/>
            <w:r>
              <w:rPr>
                <w:rFonts w:hint="eastAsia" w:ascii="宋体" w:hAnsi="宋体" w:cs="宋体"/>
                <w:szCs w:val="21"/>
                <w:lang w:val="en-US" w:eastAsia="zh-CN"/>
              </w:rPr>
              <w:t>D</w:t>
            </w:r>
            <w:r>
              <w:rPr>
                <w:rFonts w:hint="eastAsia" w:ascii="宋体" w:hAnsi="宋体" w:cs="宋体"/>
                <w:szCs w:val="21"/>
              </w:rPr>
              <w:t>类份额:1.00元/1.00元</w:t>
            </w:r>
            <w:bookmarkEnd w:id="8"/>
          </w:p>
          <w:p>
            <w:pPr>
              <w:widowControl/>
              <w:spacing w:line="300" w:lineRule="atLeast"/>
              <w:jc w:val="center"/>
              <w:textAlignment w:val="top"/>
            </w:pPr>
            <w:r>
              <w:rPr>
                <w:rFonts w:hint="eastAsia" w:ascii="宋体" w:hAnsi="宋体" w:cs="宋体"/>
                <w:szCs w:val="21"/>
                <w:lang w:val="en-US" w:eastAsia="zh-CN"/>
              </w:rPr>
              <w:t>H</w:t>
            </w:r>
            <w:r>
              <w:rPr>
                <w:rFonts w:hint="eastAsia" w:ascii="宋体" w:hAnsi="宋体" w:cs="宋体"/>
                <w:szCs w:val="21"/>
              </w:rPr>
              <w:t>类份额:1.00元/1.00元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认/申购追加金额</w:t>
            </w:r>
          </w:p>
        </w:tc>
        <w:tc>
          <w:tcPr>
            <w:tcW w:w="7513" w:type="dxa"/>
            <w:gridSpan w:val="5"/>
            <w:vAlign w:val="center"/>
          </w:tcPr>
          <w:p>
            <w:pPr>
              <w:widowControl/>
              <w:spacing w:line="300" w:lineRule="atLeast"/>
              <w:jc w:val="center"/>
              <w:textAlignment w:val="top"/>
              <w:rPr>
                <w:rFonts w:hint="eastAsia" w:ascii="宋体" w:hAnsi="宋体" w:cs="宋体"/>
              </w:rPr>
            </w:pPr>
            <w:r>
              <w:rPr>
                <w:rFonts w:hint="eastAsia" w:ascii="宋体" w:hAnsi="宋体" w:cs="宋体"/>
                <w:lang w:val="en-US" w:eastAsia="zh-CN"/>
              </w:rPr>
              <w:t>D</w:t>
            </w:r>
            <w:r>
              <w:rPr>
                <w:rFonts w:hint="eastAsia" w:ascii="宋体" w:hAnsi="宋体" w:cs="宋体"/>
              </w:rPr>
              <w:t>类份额：1元的整数倍</w:t>
            </w:r>
          </w:p>
          <w:p>
            <w:pPr>
              <w:widowControl/>
              <w:spacing w:line="300" w:lineRule="atLeast"/>
              <w:jc w:val="center"/>
              <w:textAlignment w:val="top"/>
            </w:pPr>
            <w:r>
              <w:rPr>
                <w:rFonts w:hint="eastAsia" w:ascii="宋体" w:hAnsi="宋体" w:cs="宋体"/>
                <w:lang w:val="en-US" w:eastAsia="zh-CN"/>
              </w:rPr>
              <w:t>H</w:t>
            </w:r>
            <w:r>
              <w:rPr>
                <w:rFonts w:hint="eastAsia" w:ascii="宋体" w:hAnsi="宋体" w:cs="宋体"/>
              </w:rPr>
              <w:t>类份额：1元的整数倍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单笔最小赎回份额</w:t>
            </w:r>
          </w:p>
        </w:tc>
        <w:tc>
          <w:tcPr>
            <w:tcW w:w="7513" w:type="dxa"/>
            <w:gridSpan w:val="5"/>
            <w:vAlign w:val="center"/>
          </w:tcPr>
          <w:p>
            <w:pPr>
              <w:widowControl/>
              <w:spacing w:line="280" w:lineRule="atLeast"/>
              <w:jc w:val="center"/>
              <w:textAlignment w:val="top"/>
              <w:rPr>
                <w:rFonts w:ascii="宋体" w:hAnsi="宋体" w:cs="宋体"/>
                <w:szCs w:val="21"/>
              </w:rPr>
            </w:pPr>
            <w:r>
              <w:rPr>
                <w:rFonts w:hint="eastAsia" w:ascii="宋体" w:hAnsi="宋体" w:cs="宋体"/>
                <w:szCs w:val="21"/>
              </w:rPr>
              <w:t>0.01份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bCs/>
                <w:kern w:val="0"/>
                <w:szCs w:val="21"/>
              </w:rPr>
              <w:t>持有份额下限</w:t>
            </w:r>
          </w:p>
        </w:tc>
        <w:tc>
          <w:tcPr>
            <w:tcW w:w="7513" w:type="dxa"/>
            <w:gridSpan w:val="5"/>
            <w:vAlign w:val="center"/>
          </w:tcPr>
          <w:p>
            <w:pPr>
              <w:widowControl/>
              <w:jc w:val="center"/>
              <w:rPr>
                <w:rFonts w:hint="eastAsia" w:ascii="宋体" w:hAnsi="宋体" w:eastAsia="宋体" w:cs="宋体"/>
              </w:rPr>
            </w:pPr>
            <w:r>
              <w:rPr>
                <w:rFonts w:hint="eastAsia" w:ascii="宋体" w:hAnsi="宋体" w:cs="宋体"/>
                <w:lang w:val="en-US" w:eastAsia="zh-CN"/>
              </w:rPr>
              <w:t>D</w:t>
            </w:r>
            <w:r>
              <w:rPr>
                <w:rFonts w:hint="eastAsia" w:ascii="宋体" w:hAnsi="宋体" w:eastAsia="宋体" w:cs="宋体"/>
              </w:rPr>
              <w:t>类份额:1份</w:t>
            </w:r>
          </w:p>
          <w:p>
            <w:pPr>
              <w:widowControl/>
              <w:jc w:val="center"/>
              <w:rPr>
                <w:rFonts w:hint="eastAsia" w:ascii="宋体" w:hAnsi="宋体" w:eastAsia="宋体" w:cs="宋体"/>
              </w:rPr>
            </w:pPr>
            <w:r>
              <w:rPr>
                <w:rFonts w:hint="eastAsia" w:ascii="宋体" w:hAnsi="宋体" w:cs="宋体"/>
                <w:lang w:val="en-US" w:eastAsia="zh-CN"/>
              </w:rPr>
              <w:t>H</w:t>
            </w:r>
            <w:r>
              <w:rPr>
                <w:rFonts w:hint="eastAsia" w:ascii="宋体" w:hAnsi="宋体" w:eastAsia="宋体" w:cs="宋体"/>
              </w:rPr>
              <w:t>类份额:1份</w:t>
            </w:r>
          </w:p>
          <w:p>
            <w:pPr>
              <w:numPr>
                <w:ins w:id="3" w:author="liyub" w:date="2024-01-17T08:48:00Z"/>
              </w:numPr>
            </w:pPr>
            <w:r>
              <w:rPr>
                <w:rFonts w:hint="eastAsia" w:ascii="宋体" w:hAnsi="宋体" w:cs="宋体"/>
                <w:szCs w:val="21"/>
              </w:rPr>
              <w:t>管理人有权根据产品实际募集、运作情况调整产品单一客户持有份额限制。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产品募集期</w:t>
            </w:r>
          </w:p>
        </w:tc>
        <w:tc>
          <w:tcPr>
            <w:tcW w:w="7513" w:type="dxa"/>
            <w:gridSpan w:val="5"/>
            <w:vAlign w:val="center"/>
          </w:tcPr>
          <w:p>
            <w:pPr>
              <w:widowControl/>
              <w:spacing w:line="300" w:lineRule="atLeast"/>
              <w:textAlignment w:val="top"/>
              <w:rPr>
                <w:rFonts w:ascii="宋体" w:hAnsi="宋体" w:cs="宋体"/>
                <w:szCs w:val="21"/>
              </w:rPr>
            </w:pPr>
            <w:r>
              <w:rPr>
                <w:rFonts w:hint="eastAsia" w:ascii="宋体" w:hAnsi="宋体" w:cs="宋体"/>
                <w:kern w:val="0"/>
                <w:szCs w:val="21"/>
                <w:lang w:eastAsia="zh-CN"/>
              </w:rPr>
              <w:t>2024年12月4日至2024年12月5日</w:t>
            </w:r>
            <w:r>
              <w:rPr>
                <w:rFonts w:hint="eastAsia" w:ascii="宋体" w:hAnsi="宋体" w:cs="宋体"/>
                <w:kern w:val="0"/>
                <w:szCs w:val="21"/>
              </w:rPr>
              <w:t>（管理人有权根据募集情况缩短或延长产品募集期，本产品最长募集期不超过1个月。管理人有权根据实际募集期提前或延后产品成立日期，并将通过</w:t>
            </w:r>
            <w:r>
              <w:rPr>
                <w:rFonts w:hint="eastAsia" w:ascii="宋体" w:hAnsi="宋体" w:cs="宋体"/>
                <w:szCs w:val="21"/>
              </w:rPr>
              <w:t>产品管理人官方网站或销售服务机构网上销售平台</w:t>
            </w:r>
            <w:r>
              <w:rPr>
                <w:rFonts w:hint="eastAsia" w:ascii="宋体" w:hAnsi="宋体" w:cs="宋体"/>
                <w:kern w:val="0"/>
                <w:szCs w:val="21"/>
              </w:rPr>
              <w:t>进行公布。）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产品认购确认日</w:t>
            </w:r>
          </w:p>
        </w:tc>
        <w:tc>
          <w:tcPr>
            <w:tcW w:w="7513" w:type="dxa"/>
            <w:gridSpan w:val="5"/>
            <w:vAlign w:val="center"/>
          </w:tcPr>
          <w:p>
            <w:pPr>
              <w:widowControl/>
              <w:spacing w:line="300" w:lineRule="atLeast"/>
              <w:jc w:val="center"/>
              <w:textAlignment w:val="top"/>
              <w:rPr>
                <w:rFonts w:hint="eastAsia" w:ascii="宋体" w:hAnsi="宋体" w:eastAsia="宋体" w:cs="宋体"/>
                <w:kern w:val="0"/>
                <w:szCs w:val="21"/>
                <w:lang w:eastAsia="zh-CN"/>
              </w:rPr>
            </w:pPr>
            <w:r>
              <w:rPr>
                <w:rFonts w:hint="eastAsia" w:ascii="宋体" w:hAnsi="宋体" w:cs="宋体"/>
                <w:kern w:val="0"/>
                <w:szCs w:val="21"/>
                <w:lang w:eastAsia="zh-CN"/>
              </w:rPr>
              <w:t>2024年12月6日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产品成立日</w:t>
            </w:r>
          </w:p>
        </w:tc>
        <w:tc>
          <w:tcPr>
            <w:tcW w:w="7513" w:type="dxa"/>
            <w:gridSpan w:val="5"/>
            <w:vAlign w:val="center"/>
          </w:tcPr>
          <w:p>
            <w:pPr>
              <w:widowControl/>
              <w:spacing w:line="300" w:lineRule="atLeast"/>
              <w:jc w:val="center"/>
              <w:textAlignment w:val="top"/>
              <w:rPr>
                <w:rFonts w:hint="eastAsia" w:ascii="宋体" w:hAnsi="宋体" w:eastAsia="宋体" w:cs="宋体"/>
                <w:szCs w:val="21"/>
                <w:lang w:eastAsia="zh-CN"/>
              </w:rPr>
            </w:pPr>
            <w:r>
              <w:rPr>
                <w:rFonts w:hint="eastAsia" w:ascii="宋体" w:hAnsi="宋体" w:cs="宋体"/>
                <w:kern w:val="0"/>
                <w:szCs w:val="21"/>
                <w:lang w:eastAsia="zh-CN"/>
              </w:rPr>
              <w:t>2024年12月6日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产品最低募集规模</w:t>
            </w:r>
          </w:p>
        </w:tc>
        <w:tc>
          <w:tcPr>
            <w:tcW w:w="7513" w:type="dxa"/>
            <w:gridSpan w:val="5"/>
            <w:vAlign w:val="center"/>
          </w:tcPr>
          <w:p>
            <w:pPr>
              <w:widowControl/>
              <w:spacing w:line="300" w:lineRule="atLeast"/>
              <w:textAlignment w:val="top"/>
              <w:rPr>
                <w:rFonts w:ascii="宋体" w:hAnsi="宋体" w:cs="宋体"/>
                <w:szCs w:val="21"/>
                <w:u w:val="single"/>
              </w:rPr>
            </w:pPr>
            <w:r>
              <w:rPr>
                <w:rFonts w:hint="eastAsia" w:ascii="宋体" w:hAnsi="宋体" w:cs="宋体"/>
                <w:szCs w:val="21"/>
              </w:rPr>
              <w:t>本产品初始募集规模拟不低于</w:t>
            </w:r>
            <w:r>
              <w:rPr>
                <w:rFonts w:hint="eastAsia" w:ascii="宋体" w:hAnsi="宋体" w:cs="宋体"/>
                <w:szCs w:val="21"/>
                <w:lang w:val="en-US" w:eastAsia="zh-CN"/>
              </w:rPr>
              <w:t>100</w:t>
            </w:r>
            <w:r>
              <w:rPr>
                <w:rFonts w:hint="eastAsia" w:ascii="宋体" w:hAnsi="宋体" w:cs="宋体"/>
                <w:szCs w:val="21"/>
              </w:rPr>
              <w:t>万元，若认购金额不足</w:t>
            </w:r>
            <w:r>
              <w:rPr>
                <w:rFonts w:hint="eastAsia" w:ascii="宋体" w:hAnsi="宋体" w:cs="宋体"/>
                <w:szCs w:val="21"/>
                <w:lang w:val="en-US" w:eastAsia="zh-CN"/>
              </w:rPr>
              <w:t>100</w:t>
            </w:r>
            <w:r>
              <w:rPr>
                <w:rFonts w:hint="eastAsia" w:ascii="宋体" w:hAnsi="宋体" w:cs="宋体"/>
                <w:szCs w:val="21"/>
              </w:rPr>
              <w:t>万元，管理人有权宣布理财产品不成立，并在原定成立日后的2个工作日内进行披露。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产品募集规模上限</w:t>
            </w:r>
          </w:p>
        </w:tc>
        <w:tc>
          <w:tcPr>
            <w:tcW w:w="7513" w:type="dxa"/>
            <w:gridSpan w:val="5"/>
            <w:vAlign w:val="center"/>
          </w:tcPr>
          <w:p>
            <w:pPr>
              <w:widowControl/>
              <w:spacing w:line="300" w:lineRule="atLeast"/>
              <w:textAlignment w:val="top"/>
              <w:rPr>
                <w:rFonts w:ascii="宋体" w:hAnsi="宋体" w:cs="宋体"/>
                <w:szCs w:val="21"/>
              </w:rPr>
            </w:pPr>
            <w:r>
              <w:rPr>
                <w:rFonts w:hint="eastAsia" w:ascii="宋体" w:hAnsi="宋体" w:cs="宋体"/>
                <w:szCs w:val="21"/>
              </w:rPr>
              <w:t>本产品募集规模上限为</w:t>
            </w:r>
            <w:r>
              <w:rPr>
                <w:rFonts w:hint="eastAsia" w:ascii="宋体" w:hAnsi="宋体" w:cs="宋体"/>
                <w:szCs w:val="21"/>
                <w:lang w:val="en-US" w:eastAsia="zh-CN"/>
              </w:rPr>
              <w:t>10</w:t>
            </w:r>
            <w:r>
              <w:rPr>
                <w:rFonts w:hint="eastAsia" w:ascii="宋体" w:hAnsi="宋体" w:cs="宋体"/>
                <w:szCs w:val="21"/>
              </w:rPr>
              <w:t>亿元，管理人有权根据产品实际募集、运作情况调整产品募集规模上限。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最低持有期</w:t>
            </w:r>
          </w:p>
        </w:tc>
        <w:tc>
          <w:tcPr>
            <w:tcW w:w="7513" w:type="dxa"/>
            <w:gridSpan w:val="5"/>
            <w:vAlign w:val="center"/>
          </w:tcPr>
          <w:p>
            <w:pPr>
              <w:widowControl/>
              <w:spacing w:line="300" w:lineRule="atLeast"/>
              <w:textAlignment w:val="top"/>
              <w:rPr>
                <w:rFonts w:ascii="宋体" w:hAnsi="宋体" w:cs="宋体"/>
                <w:szCs w:val="21"/>
              </w:rPr>
            </w:pPr>
            <w:r>
              <w:rPr>
                <w:rFonts w:hint="eastAsia" w:ascii="宋体" w:hAnsi="宋体" w:cs="宋体"/>
                <w:szCs w:val="21"/>
              </w:rPr>
              <w:t>自产品认购/申购确认日（含当日）起</w:t>
            </w:r>
            <w:r>
              <w:rPr>
                <w:rFonts w:hint="eastAsia" w:ascii="宋体" w:hAnsi="宋体" w:cs="宋体"/>
                <w:szCs w:val="21"/>
                <w:lang w:val="en-US" w:eastAsia="zh-CN"/>
              </w:rPr>
              <w:t>7</w:t>
            </w:r>
            <w:r>
              <w:rPr>
                <w:rFonts w:hint="eastAsia" w:ascii="宋体" w:hAnsi="宋体" w:cs="宋体"/>
                <w:szCs w:val="21"/>
              </w:rPr>
              <w:t>个自然日为最低持有期，投资者每笔理财份额从认/申购确认日（含该日）起</w:t>
            </w:r>
            <w:r>
              <w:rPr>
                <w:rFonts w:hint="eastAsia" w:ascii="宋体" w:hAnsi="宋体" w:cs="宋体"/>
                <w:szCs w:val="21"/>
                <w:lang w:val="en-US" w:eastAsia="zh-CN"/>
              </w:rPr>
              <w:t>7</w:t>
            </w:r>
            <w:r>
              <w:rPr>
                <w:rFonts w:hint="eastAsia" w:ascii="宋体" w:hAnsi="宋体" w:cs="宋体"/>
                <w:szCs w:val="21"/>
              </w:rPr>
              <w:t>个自然日（如第</w:t>
            </w:r>
            <w:r>
              <w:rPr>
                <w:rFonts w:hint="eastAsia" w:ascii="宋体" w:hAnsi="宋体" w:cs="宋体"/>
                <w:szCs w:val="21"/>
                <w:lang w:val="en-US" w:eastAsia="zh-CN"/>
              </w:rPr>
              <w:t>7</w:t>
            </w:r>
            <w:r>
              <w:rPr>
                <w:rFonts w:hint="eastAsia" w:ascii="宋体" w:hAnsi="宋体" w:cs="宋体"/>
                <w:szCs w:val="21"/>
              </w:rPr>
              <w:t>个自然日为非交易日，则顺延至下一个交易日）后（含当日），投资者可以提出赎回申请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产品开放日</w:t>
            </w:r>
          </w:p>
        </w:tc>
        <w:tc>
          <w:tcPr>
            <w:tcW w:w="7513" w:type="dxa"/>
            <w:gridSpan w:val="5"/>
            <w:vAlign w:val="center"/>
          </w:tcPr>
          <w:p>
            <w:pPr>
              <w:widowControl/>
              <w:spacing w:line="300" w:lineRule="atLeast"/>
              <w:textAlignment w:val="top"/>
              <w:rPr>
                <w:rFonts w:ascii="宋体" w:hAnsi="宋体" w:cs="宋体"/>
                <w:szCs w:val="21"/>
              </w:rPr>
            </w:pPr>
            <w:r>
              <w:rPr>
                <w:rFonts w:hint="eastAsia" w:ascii="宋体" w:hAnsi="宋体" w:cs="宋体"/>
                <w:szCs w:val="21"/>
              </w:rPr>
              <w:t>本产品成立后每个交易所工作日为开放日，开放日可办理申购、赎回等交易（遇非交易所工作日顺延），但赎回交易的份额需满足最低持有期的要求。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kern w:val="0"/>
                <w:szCs w:val="21"/>
              </w:rPr>
            </w:pPr>
            <w:r>
              <w:rPr>
                <w:rFonts w:hint="eastAsia" w:ascii="宋体" w:hAnsi="宋体" w:cs="宋体"/>
                <w:b/>
                <w:kern w:val="0"/>
                <w:szCs w:val="21"/>
              </w:rPr>
              <w:t>预计资金到账日</w:t>
            </w:r>
          </w:p>
        </w:tc>
        <w:tc>
          <w:tcPr>
            <w:tcW w:w="7513" w:type="dxa"/>
            <w:gridSpan w:val="5"/>
            <w:vAlign w:val="center"/>
          </w:tcPr>
          <w:p>
            <w:pPr>
              <w:widowControl/>
              <w:spacing w:line="300" w:lineRule="atLeast"/>
              <w:textAlignment w:val="top"/>
              <w:rPr>
                <w:rFonts w:ascii="宋体" w:hAnsi="宋体" w:cs="宋体"/>
                <w:kern w:val="0"/>
                <w:szCs w:val="21"/>
              </w:rPr>
            </w:pPr>
            <w:bookmarkStart w:id="9" w:name="OLE_LINK8"/>
            <w:r>
              <w:rPr>
                <w:rFonts w:hint="eastAsia" w:ascii="宋体" w:hAnsi="宋体" w:cs="宋体"/>
                <w:szCs w:val="21"/>
              </w:rPr>
              <w:t>投资者赎回金额预计于产品开放日后</w:t>
            </w:r>
            <w:r>
              <w:rPr>
                <w:rFonts w:hint="eastAsia" w:ascii="宋体" w:hAnsi="宋体" w:cs="宋体"/>
                <w:szCs w:val="21"/>
                <w:lang w:val="en-US" w:eastAsia="zh-CN"/>
              </w:rPr>
              <w:t>1</w:t>
            </w:r>
            <w:r>
              <w:rPr>
                <w:rFonts w:hint="eastAsia" w:ascii="宋体" w:hAnsi="宋体" w:cs="宋体"/>
                <w:szCs w:val="21"/>
              </w:rPr>
              <w:t>个交易所工作日内到账，产品赎回</w:t>
            </w:r>
            <w:r>
              <w:rPr>
                <w:rFonts w:ascii="宋体" w:hAnsi="宋体" w:cs="宋体"/>
                <w:szCs w:val="21"/>
              </w:rPr>
              <w:t>日</w:t>
            </w:r>
            <w:r>
              <w:rPr>
                <w:rFonts w:hint="eastAsia" w:ascii="宋体" w:hAnsi="宋体" w:cs="宋体"/>
                <w:szCs w:val="21"/>
              </w:rPr>
              <w:t>后至投资者资金到账日期间不计利息。</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bookmarkStart w:id="10" w:name="OLE_LINK35" w:colFirst="0" w:colLast="1"/>
            <w:r>
              <w:rPr>
                <w:rFonts w:hint="eastAsia" w:ascii="宋体" w:hAnsi="宋体" w:cs="宋体"/>
                <w:b/>
                <w:szCs w:val="21"/>
              </w:rPr>
              <w:t>交易时间</w:t>
            </w:r>
          </w:p>
        </w:tc>
        <w:tc>
          <w:tcPr>
            <w:tcW w:w="7513" w:type="dxa"/>
            <w:gridSpan w:val="5"/>
            <w:vAlign w:val="center"/>
          </w:tcPr>
          <w:p>
            <w:pPr>
              <w:widowControl/>
              <w:spacing w:line="300" w:lineRule="atLeast"/>
              <w:jc w:val="left"/>
              <w:textAlignment w:val="top"/>
              <w:rPr>
                <w:rFonts w:ascii="宋体" w:hAnsi="宋体" w:cs="宋体"/>
                <w:kern w:val="0"/>
                <w:szCs w:val="21"/>
              </w:rPr>
            </w:pPr>
            <w:r>
              <w:rPr>
                <w:rFonts w:hint="eastAsia" w:ascii="宋体" w:hAnsi="宋体" w:cs="宋体"/>
                <w:kern w:val="0"/>
                <w:szCs w:val="21"/>
              </w:rPr>
              <w:t>本产品认购交易时间为</w:t>
            </w:r>
            <w:r>
              <w:rPr>
                <w:rFonts w:ascii="宋体" w:hAnsi="宋体" w:cs="宋体"/>
                <w:szCs w:val="21"/>
              </w:rPr>
              <w:t>募集期开始日至结束日</w:t>
            </w:r>
            <w:r>
              <w:rPr>
                <w:rFonts w:hint="eastAsia" w:ascii="宋体" w:hAnsi="宋体" w:cs="宋体"/>
                <w:szCs w:val="21"/>
              </w:rPr>
              <w:t>当日北京时间</w:t>
            </w:r>
            <w:r>
              <w:rPr>
                <w:rFonts w:hint="eastAsia" w:ascii="宋体" w:hAnsi="宋体" w:cs="宋体"/>
                <w:szCs w:val="21"/>
                <w:lang w:val="en-US" w:eastAsia="zh-CN"/>
              </w:rPr>
              <w:t>15</w:t>
            </w:r>
            <w:r>
              <w:rPr>
                <w:rFonts w:hint="eastAsia" w:ascii="宋体" w:hAnsi="宋体" w:cs="宋体"/>
                <w:szCs w:val="21"/>
              </w:rPr>
              <w:t>:00</w:t>
            </w:r>
            <w:r>
              <w:rPr>
                <w:rFonts w:hint="eastAsia" w:ascii="宋体" w:hAnsi="宋体" w:cs="宋体"/>
                <w:kern w:val="0"/>
                <w:szCs w:val="21"/>
              </w:rPr>
              <w:t>，申购和赎回交易时间为</w:t>
            </w:r>
            <w:r>
              <w:rPr>
                <w:rFonts w:hint="eastAsia" w:ascii="宋体" w:hAnsi="宋体" w:cs="宋体"/>
                <w:szCs w:val="21"/>
              </w:rPr>
              <w:t>产品开放日当日北京时间00:0</w:t>
            </w:r>
            <w:r>
              <w:rPr>
                <w:rFonts w:hint="eastAsia" w:ascii="宋体" w:hAnsi="宋体" w:cs="宋体"/>
                <w:szCs w:val="21"/>
                <w:lang w:val="en-US" w:eastAsia="zh-CN"/>
              </w:rPr>
              <w:t>5</w:t>
            </w:r>
            <w:r>
              <w:rPr>
                <w:rFonts w:hint="eastAsia" w:ascii="宋体" w:hAnsi="宋体" w:cs="宋体"/>
                <w:szCs w:val="21"/>
              </w:rPr>
              <w:t>至1</w:t>
            </w:r>
            <w:r>
              <w:rPr>
                <w:rFonts w:hint="eastAsia" w:ascii="宋体" w:hAnsi="宋体" w:cs="宋体"/>
                <w:szCs w:val="21"/>
                <w:lang w:val="en-US" w:eastAsia="zh-CN"/>
              </w:rPr>
              <w:t>5</w:t>
            </w:r>
            <w:r>
              <w:rPr>
                <w:rFonts w:hint="eastAsia" w:ascii="宋体" w:hAnsi="宋体" w:cs="宋体"/>
                <w:szCs w:val="21"/>
              </w:rPr>
              <w:t>:00</w:t>
            </w:r>
            <w:r>
              <w:rPr>
                <w:rFonts w:hint="eastAsia" w:ascii="宋体" w:hAnsi="宋体" w:cs="宋体"/>
                <w:kern w:val="0"/>
                <w:szCs w:val="21"/>
              </w:rPr>
              <w:t>，投资者可以在交易时间内提交产品的认购、申购、赎回申请，申购、赎回申请在开放日1</w:t>
            </w:r>
            <w:r>
              <w:rPr>
                <w:rFonts w:hint="eastAsia" w:ascii="宋体" w:hAnsi="宋体" w:cs="宋体"/>
                <w:kern w:val="0"/>
                <w:szCs w:val="21"/>
                <w:lang w:val="en-US" w:eastAsia="zh-CN"/>
              </w:rPr>
              <w:t>5</w:t>
            </w:r>
            <w:r>
              <w:rPr>
                <w:rFonts w:hint="eastAsia" w:ascii="宋体" w:hAnsi="宋体" w:cs="宋体"/>
                <w:kern w:val="0"/>
                <w:szCs w:val="21"/>
              </w:rPr>
              <w:t>:00（不含）前允许撤单，管理人有权拒绝受理超过开放日1</w:t>
            </w:r>
            <w:r>
              <w:rPr>
                <w:rFonts w:hint="eastAsia" w:ascii="宋体" w:hAnsi="宋体" w:cs="宋体"/>
                <w:kern w:val="0"/>
                <w:szCs w:val="21"/>
                <w:lang w:val="en-US" w:eastAsia="zh-CN"/>
              </w:rPr>
              <w:t>5</w:t>
            </w:r>
            <w:r>
              <w:rPr>
                <w:rFonts w:hint="eastAsia" w:ascii="宋体" w:hAnsi="宋体" w:cs="宋体"/>
                <w:kern w:val="0"/>
                <w:szCs w:val="21"/>
              </w:rPr>
              <w:t>:00（不含）的申请。</w:t>
            </w:r>
          </w:p>
          <w:p>
            <w:pPr>
              <w:widowControl/>
              <w:spacing w:line="300" w:lineRule="atLeast"/>
              <w:jc w:val="left"/>
              <w:textAlignment w:val="top"/>
              <w:rPr>
                <w:rFonts w:ascii="宋体" w:hAnsi="宋体" w:cs="宋体"/>
                <w:kern w:val="0"/>
                <w:szCs w:val="21"/>
              </w:rPr>
            </w:pPr>
            <w:r>
              <w:rPr>
                <w:rFonts w:hint="eastAsia" w:ascii="宋体" w:hAnsi="宋体" w:cs="宋体"/>
                <w:kern w:val="0"/>
                <w:szCs w:val="21"/>
              </w:rPr>
              <w:t>以上规则如有调整，以管理人公告为准。</w:t>
            </w:r>
          </w:p>
          <w:p>
            <w:pPr>
              <w:widowControl/>
              <w:spacing w:line="300" w:lineRule="atLeast"/>
              <w:jc w:val="left"/>
              <w:textAlignment w:val="top"/>
              <w:rPr>
                <w:rFonts w:ascii="宋体" w:hAnsi="宋体" w:cs="宋体"/>
                <w:kern w:val="0"/>
                <w:szCs w:val="21"/>
              </w:rPr>
            </w:pPr>
            <w:r>
              <w:rPr>
                <w:rFonts w:hint="eastAsia" w:ascii="宋体" w:hAnsi="宋体" w:cs="宋体"/>
                <w:kern w:val="0"/>
                <w:szCs w:val="21"/>
              </w:rPr>
              <w:t>投资者通过销售服务机构购买理财产品的，还应以销售机服务构对于交易时间和交易申请的相关规定执行。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认/申购费率</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rPr>
              <w:t>0.00%</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赎回费率</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管理费率（年化）</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lang w:val="en-US" w:eastAsia="zh-CN"/>
              </w:rPr>
              <w:t>0.30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15" w:type="dxa"/>
            <w:vMerge w:val="restart"/>
            <w:vAlign w:val="center"/>
          </w:tcPr>
          <w:p>
            <w:pPr>
              <w:widowControl/>
              <w:jc w:val="center"/>
              <w:textAlignment w:val="top"/>
              <w:rPr>
                <w:rFonts w:ascii="宋体" w:hAnsi="宋体" w:cs="宋体"/>
                <w:b/>
                <w:szCs w:val="21"/>
              </w:rPr>
            </w:pPr>
            <w:r>
              <w:rPr>
                <w:rFonts w:hint="eastAsia" w:ascii="宋体" w:hAnsi="宋体" w:cs="宋体"/>
                <w:b/>
                <w:szCs w:val="21"/>
              </w:rPr>
              <w:t>销售服务费率</w:t>
            </w:r>
          </w:p>
          <w:p>
            <w:pPr>
              <w:widowControl/>
              <w:spacing w:line="300" w:lineRule="atLeast"/>
              <w:jc w:val="center"/>
              <w:textAlignment w:val="top"/>
              <w:rPr>
                <w:rFonts w:ascii="宋体" w:hAnsi="宋体" w:cs="宋体"/>
                <w:b/>
                <w:szCs w:val="21"/>
              </w:rPr>
            </w:pPr>
            <w:r>
              <w:rPr>
                <w:rFonts w:hint="eastAsia" w:ascii="宋体" w:hAnsi="宋体" w:cs="宋体"/>
                <w:b/>
                <w:szCs w:val="21"/>
              </w:rPr>
              <w:t>（年化）</w:t>
            </w:r>
          </w:p>
        </w:tc>
        <w:tc>
          <w:tcPr>
            <w:tcW w:w="3572" w:type="dxa"/>
            <w:gridSpan w:val="3"/>
            <w:vAlign w:val="center"/>
          </w:tcPr>
          <w:p>
            <w:pPr>
              <w:widowControl/>
              <w:spacing w:line="360" w:lineRule="auto"/>
              <w:jc w:val="center"/>
              <w:textAlignment w:val="top"/>
              <w:rPr>
                <w:rFonts w:ascii="宋体" w:hAnsi="宋体" w:cs="宋体"/>
                <w:kern w:val="0"/>
                <w:szCs w:val="21"/>
              </w:rPr>
            </w:pPr>
            <w:r>
              <w:rPr>
                <w:rFonts w:hint="eastAsia" w:ascii="宋体" w:hAnsi="宋体" w:cs="宋体"/>
                <w:kern w:val="0"/>
                <w:szCs w:val="21"/>
                <w:lang w:val="en-US" w:eastAsia="zh-CN"/>
              </w:rPr>
              <w:t>D</w:t>
            </w:r>
            <w:r>
              <w:rPr>
                <w:rFonts w:hint="eastAsia" w:ascii="宋体" w:hAnsi="宋体" w:cs="宋体"/>
                <w:kern w:val="0"/>
                <w:szCs w:val="21"/>
              </w:rPr>
              <w:t>类份额</w:t>
            </w:r>
          </w:p>
        </w:tc>
        <w:tc>
          <w:tcPr>
            <w:tcW w:w="3941" w:type="dxa"/>
            <w:gridSpan w:val="2"/>
            <w:vAlign w:val="center"/>
          </w:tcPr>
          <w:p>
            <w:pPr>
              <w:widowControl/>
              <w:spacing w:line="360" w:lineRule="auto"/>
              <w:jc w:val="center"/>
              <w:textAlignment w:val="top"/>
              <w:rPr>
                <w:rFonts w:ascii="宋体" w:hAnsi="宋体" w:cs="宋体"/>
                <w:kern w:val="0"/>
                <w:szCs w:val="21"/>
              </w:rPr>
            </w:pPr>
            <w:r>
              <w:rPr>
                <w:rFonts w:hint="eastAsia" w:ascii="宋体" w:hAnsi="宋体" w:cs="宋体"/>
                <w:kern w:val="0"/>
                <w:szCs w:val="21"/>
                <w:lang w:val="en-US" w:eastAsia="zh-CN"/>
              </w:rPr>
              <w:t>0.50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15" w:type="dxa"/>
            <w:vMerge w:val="continue"/>
            <w:vAlign w:val="center"/>
          </w:tcPr>
          <w:p>
            <w:pPr>
              <w:widowControl/>
              <w:spacing w:line="300" w:lineRule="atLeast"/>
              <w:jc w:val="center"/>
              <w:textAlignment w:val="top"/>
              <w:rPr>
                <w:rFonts w:hint="eastAsia" w:ascii="宋体" w:hAnsi="宋体" w:cs="宋体"/>
                <w:b/>
                <w:szCs w:val="21"/>
              </w:rPr>
            </w:pPr>
          </w:p>
        </w:tc>
        <w:tc>
          <w:tcPr>
            <w:tcW w:w="3572" w:type="dxa"/>
            <w:gridSpan w:val="3"/>
            <w:shd w:val="clear" w:color="auto" w:fill="auto"/>
            <w:vAlign w:val="center"/>
          </w:tcPr>
          <w:p>
            <w:pPr>
              <w:widowControl/>
              <w:spacing w:line="360" w:lineRule="auto"/>
              <w:jc w:val="center"/>
              <w:textAlignment w:val="top"/>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H</w:t>
            </w:r>
            <w:r>
              <w:rPr>
                <w:rFonts w:hint="eastAsia" w:ascii="宋体" w:hAnsi="宋体" w:cs="宋体"/>
                <w:kern w:val="0"/>
                <w:szCs w:val="21"/>
              </w:rPr>
              <w:t>类份额</w:t>
            </w:r>
          </w:p>
        </w:tc>
        <w:tc>
          <w:tcPr>
            <w:tcW w:w="3941" w:type="dxa"/>
            <w:gridSpan w:val="2"/>
            <w:shd w:val="clear" w:color="auto" w:fill="auto"/>
            <w:vAlign w:val="center"/>
          </w:tcPr>
          <w:p>
            <w:pPr>
              <w:widowControl/>
              <w:spacing w:line="360" w:lineRule="auto"/>
              <w:jc w:val="center"/>
              <w:textAlignment w:val="top"/>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0.20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托管费率（年化）</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lang w:val="en-US" w:eastAsia="zh-CN"/>
              </w:rPr>
              <w:t>0.03</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szCs w:val="21"/>
              </w:rPr>
              <w:t>分红方式</w:t>
            </w:r>
          </w:p>
        </w:tc>
        <w:tc>
          <w:tcPr>
            <w:tcW w:w="7513" w:type="dxa"/>
            <w:gridSpan w:val="5"/>
            <w:vAlign w:val="center"/>
          </w:tcPr>
          <w:p>
            <w:pPr>
              <w:widowControl/>
              <w:spacing w:line="300" w:lineRule="atLeast"/>
              <w:jc w:val="center"/>
              <w:textAlignment w:val="top"/>
              <w:rPr>
                <w:rFonts w:ascii="宋体" w:hAnsi="宋体" w:cs="宋体"/>
                <w:kern w:val="0"/>
                <w:szCs w:val="21"/>
              </w:rPr>
            </w:pPr>
            <w:r>
              <w:rPr>
                <w:rFonts w:hint="eastAsia" w:ascii="宋体" w:hAnsi="宋体" w:cs="宋体"/>
                <w:kern w:val="0"/>
                <w:szCs w:val="21"/>
              </w:rPr>
              <w:t>现金分红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kern w:val="0"/>
                <w:szCs w:val="21"/>
              </w:rPr>
              <w:t>募集期间资金及利息的处理方式</w:t>
            </w:r>
          </w:p>
        </w:tc>
        <w:tc>
          <w:tcPr>
            <w:tcW w:w="7513" w:type="dxa"/>
            <w:gridSpan w:val="5"/>
            <w:vAlign w:val="center"/>
          </w:tcPr>
          <w:p>
            <w:pPr>
              <w:widowControl/>
              <w:spacing w:line="300" w:lineRule="atLeast"/>
              <w:textAlignment w:val="top"/>
              <w:rPr>
                <w:rFonts w:ascii="宋体" w:hAnsi="宋体" w:cs="宋体"/>
                <w:kern w:val="0"/>
                <w:szCs w:val="21"/>
              </w:rPr>
            </w:pPr>
            <w:r>
              <w:rPr>
                <w:rFonts w:hint="eastAsia" w:ascii="宋体" w:hAnsi="宋体" w:cs="宋体"/>
                <w:szCs w:val="21"/>
              </w:rPr>
              <w:t>投资者在募集期内的认购申请被受理后，销售服务机构有权冻结认购款项。冻结期间资金由销售服务机构按人民币活期存款利率计付利息，利息不计入认购本金。募集期最后一日全部募集资金将被划入资金募集账户，该日募集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5" w:type="dxa"/>
            <w:vAlign w:val="center"/>
          </w:tcPr>
          <w:p>
            <w:pPr>
              <w:widowControl/>
              <w:spacing w:line="300" w:lineRule="atLeast"/>
              <w:jc w:val="center"/>
              <w:textAlignment w:val="top"/>
              <w:rPr>
                <w:rFonts w:ascii="宋体" w:hAnsi="宋体" w:cs="宋体"/>
                <w:b/>
                <w:szCs w:val="21"/>
              </w:rPr>
            </w:pPr>
            <w:r>
              <w:rPr>
                <w:rFonts w:hint="eastAsia" w:ascii="宋体" w:hAnsi="宋体" w:cs="宋体"/>
                <w:b/>
                <w:kern w:val="0"/>
                <w:szCs w:val="21"/>
              </w:rPr>
              <w:t>提前终止</w:t>
            </w:r>
          </w:p>
        </w:tc>
        <w:tc>
          <w:tcPr>
            <w:tcW w:w="7513" w:type="dxa"/>
            <w:gridSpan w:val="5"/>
            <w:vAlign w:val="center"/>
          </w:tcPr>
          <w:p>
            <w:pPr>
              <w:widowControl/>
              <w:spacing w:line="300" w:lineRule="atLeast"/>
              <w:textAlignment w:val="top"/>
              <w:rPr>
                <w:rFonts w:ascii="宋体" w:hAnsi="宋体" w:cs="宋体"/>
                <w:kern w:val="0"/>
                <w:szCs w:val="21"/>
              </w:rPr>
            </w:pPr>
            <w:r>
              <w:rPr>
                <w:rFonts w:hint="eastAsia" w:ascii="宋体" w:hAnsi="宋体" w:cs="宋体"/>
                <w:kern w:val="0"/>
                <w:szCs w:val="21"/>
              </w:rPr>
              <w:t>为保护投资者利益，管理人可根据市场变化情况提前终止本产品，投资者不得提前终止本产品。</w:t>
            </w:r>
          </w:p>
        </w:tc>
      </w:tr>
    </w:tbl>
    <w:p>
      <w:pPr>
        <w:widowControl/>
        <w:spacing w:line="360" w:lineRule="auto"/>
        <w:jc w:val="left"/>
        <w:rPr>
          <w:rFonts w:ascii="宋体" w:hAnsi="宋体" w:cs="宋体"/>
          <w:sz w:val="24"/>
          <w:szCs w:val="24"/>
        </w:rPr>
      </w:pPr>
    </w:p>
    <w:p>
      <w:pPr>
        <w:spacing w:line="360" w:lineRule="auto"/>
        <w:jc w:val="center"/>
        <w:outlineLvl w:val="0"/>
        <w:rPr>
          <w:rFonts w:ascii="宋体" w:hAnsi="宋体" w:cs="宋体"/>
          <w:b/>
          <w:bCs/>
          <w:color w:val="000000"/>
          <w:sz w:val="28"/>
          <w:szCs w:val="28"/>
        </w:rPr>
      </w:pPr>
      <w:r>
        <w:rPr>
          <w:rFonts w:hint="eastAsia" w:ascii="宋体" w:hAnsi="宋体" w:cs="宋体"/>
          <w:b/>
          <w:bCs/>
          <w:color w:val="000000"/>
          <w:sz w:val="28"/>
          <w:szCs w:val="28"/>
        </w:rPr>
        <w:t>二、风险评级</w:t>
      </w:r>
    </w:p>
    <w:p>
      <w:pPr>
        <w:spacing w:line="360" w:lineRule="auto"/>
        <w:ind w:firstLine="420" w:firstLineChars="200"/>
        <w:rPr>
          <w:rFonts w:ascii="宋体" w:hAnsi="宋体" w:cs="宋体"/>
          <w:szCs w:val="21"/>
        </w:rPr>
      </w:pPr>
      <w:r>
        <w:rPr>
          <w:rFonts w:hint="eastAsia" w:ascii="宋体" w:hAnsi="宋体" w:cs="宋体"/>
          <w:szCs w:val="21"/>
        </w:rPr>
        <w:t>本理财产品经光大理财内部风险评级为</w:t>
      </w:r>
      <w:r>
        <w:rPr>
          <w:rFonts w:hint="eastAsia" w:ascii="宋体" w:hAnsi="宋体" w:cs="宋体"/>
          <w:b/>
          <w:bCs/>
          <w:szCs w:val="21"/>
        </w:rPr>
        <w:t>较低风险（二星级）。</w:t>
      </w:r>
      <w:r>
        <w:rPr>
          <w:rFonts w:hint="eastAsia" w:ascii="宋体" w:hAnsi="宋体" w:cs="宋体"/>
          <w:szCs w:val="21"/>
        </w:rPr>
        <w:t>销售服务机构负责完成投资者风险承受能力评估，并在遵循投资者适当性原则的前提下进行本理财产品的销售活动。</w:t>
      </w:r>
      <w:r>
        <w:rPr>
          <w:rFonts w:hint="eastAsia"/>
          <w:b/>
          <w:bCs/>
          <w:szCs w:val="21"/>
          <w:u w:val="single"/>
        </w:rPr>
        <w:t>本产品通过销售服务机构渠道销售的，理财产品评级应当以销售服务机构最终披露的评级结果为准。</w:t>
      </w:r>
    </w:p>
    <w:tbl>
      <w:tblPr>
        <w:tblStyle w:val="10"/>
        <w:tblW w:w="5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3" w:type="dxa"/>
            <w:vAlign w:val="center"/>
          </w:tcPr>
          <w:p>
            <w:pPr>
              <w:jc w:val="center"/>
              <w:rPr>
                <w:rFonts w:ascii="宋体" w:hAnsi="宋体" w:cs="宋体"/>
                <w:b/>
                <w:color w:val="000000"/>
                <w:szCs w:val="21"/>
              </w:rPr>
            </w:pPr>
            <w:r>
              <w:rPr>
                <w:rFonts w:hint="eastAsia" w:ascii="宋体" w:hAnsi="宋体" w:cs="宋体"/>
                <w:b/>
                <w:bCs/>
                <w:color w:val="000000"/>
                <w:szCs w:val="21"/>
              </w:rPr>
              <w:t>光大理财内部风险评级</w:t>
            </w:r>
          </w:p>
        </w:tc>
        <w:tc>
          <w:tcPr>
            <w:tcW w:w="2759" w:type="dxa"/>
            <w:vAlign w:val="center"/>
          </w:tcPr>
          <w:p>
            <w:pPr>
              <w:jc w:val="center"/>
              <w:rPr>
                <w:rFonts w:ascii="宋体" w:hAnsi="宋体" w:cs="宋体"/>
                <w:b/>
                <w:color w:val="000000"/>
                <w:szCs w:val="21"/>
              </w:rPr>
            </w:pPr>
            <w:r>
              <w:rPr>
                <w:rFonts w:hint="eastAsia" w:ascii="宋体" w:hAnsi="宋体" w:cs="宋体"/>
                <w:b/>
                <w:bCs/>
                <w:color w:val="000000"/>
                <w:szCs w:val="21"/>
              </w:rPr>
              <w:t>风险程度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3" w:type="dxa"/>
          </w:tcPr>
          <w:p>
            <w:pPr>
              <w:jc w:val="center"/>
              <w:rPr>
                <w:rFonts w:ascii="宋体" w:hAnsi="宋体" w:cs="宋体"/>
                <w:bCs/>
                <w:szCs w:val="21"/>
              </w:rPr>
            </w:pPr>
            <w:r>
              <w:rPr>
                <w:rFonts w:hint="eastAsia" w:ascii="宋体" w:hAnsi="宋体" w:cs="宋体"/>
                <w:bCs/>
                <w:szCs w:val="21"/>
              </w:rPr>
              <w:t>★</w:t>
            </w:r>
          </w:p>
        </w:tc>
        <w:tc>
          <w:tcPr>
            <w:tcW w:w="2759" w:type="dxa"/>
          </w:tcPr>
          <w:p>
            <w:pPr>
              <w:jc w:val="center"/>
              <w:rPr>
                <w:rFonts w:ascii="宋体" w:hAnsi="宋体" w:cs="宋体"/>
                <w:szCs w:val="21"/>
              </w:rPr>
            </w:pPr>
            <w:r>
              <w:rPr>
                <w:rFonts w:hint="eastAsia" w:ascii="宋体" w:hAnsi="宋体" w:cs="宋体"/>
                <w:bCs/>
                <w:szCs w:val="21"/>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3" w:type="dxa"/>
          </w:tcPr>
          <w:p>
            <w:pPr>
              <w:jc w:val="center"/>
              <w:rPr>
                <w:rFonts w:ascii="宋体" w:hAnsi="宋体" w:cs="宋体"/>
                <w:szCs w:val="21"/>
              </w:rPr>
            </w:pPr>
            <w:r>
              <w:rPr>
                <w:rFonts w:hint="eastAsia" w:ascii="宋体" w:hAnsi="宋体" w:cs="宋体"/>
                <w:b/>
                <w:bCs/>
                <w:szCs w:val="21"/>
              </w:rPr>
              <w:t>★★</w:t>
            </w:r>
          </w:p>
        </w:tc>
        <w:tc>
          <w:tcPr>
            <w:tcW w:w="2759" w:type="dxa"/>
          </w:tcPr>
          <w:p>
            <w:pPr>
              <w:jc w:val="center"/>
              <w:rPr>
                <w:rFonts w:ascii="宋体" w:hAnsi="宋体" w:cs="宋体"/>
                <w:b/>
                <w:szCs w:val="21"/>
              </w:rPr>
            </w:pPr>
            <w:r>
              <w:rPr>
                <w:rFonts w:hint="eastAsia" w:ascii="宋体" w:hAnsi="宋体" w:cs="宋体"/>
                <w:b/>
                <w:bCs/>
                <w:szCs w:val="21"/>
              </w:rPr>
              <w:t>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3" w:type="dxa"/>
          </w:tcPr>
          <w:p>
            <w:pPr>
              <w:jc w:val="center"/>
              <w:rPr>
                <w:rFonts w:ascii="宋体" w:hAnsi="宋体" w:cs="宋体"/>
                <w:b/>
                <w:szCs w:val="21"/>
              </w:rPr>
            </w:pPr>
            <w:r>
              <w:rPr>
                <w:rFonts w:hint="eastAsia" w:ascii="宋体" w:hAnsi="宋体" w:cs="宋体"/>
                <w:szCs w:val="21"/>
              </w:rPr>
              <w:t>★★★</w:t>
            </w:r>
          </w:p>
        </w:tc>
        <w:tc>
          <w:tcPr>
            <w:tcW w:w="2759" w:type="dxa"/>
          </w:tcPr>
          <w:p>
            <w:pPr>
              <w:jc w:val="center"/>
              <w:rPr>
                <w:rFonts w:ascii="宋体" w:hAnsi="宋体" w:cs="宋体"/>
                <w:szCs w:val="21"/>
              </w:rPr>
            </w:pPr>
            <w:r>
              <w:rPr>
                <w:rFonts w:hint="eastAsia" w:ascii="宋体" w:hAnsi="宋体" w:cs="宋体"/>
                <w:bCs/>
                <w:szCs w:val="21"/>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3" w:type="dxa"/>
          </w:tcPr>
          <w:p>
            <w:pPr>
              <w:jc w:val="center"/>
              <w:rPr>
                <w:rFonts w:ascii="宋体" w:hAnsi="宋体" w:cs="宋体"/>
                <w:b/>
                <w:szCs w:val="21"/>
              </w:rPr>
            </w:pPr>
            <w:r>
              <w:rPr>
                <w:rFonts w:hint="eastAsia" w:ascii="宋体" w:hAnsi="宋体" w:cs="宋体"/>
                <w:bCs/>
                <w:szCs w:val="21"/>
              </w:rPr>
              <w:t>★★★★</w:t>
            </w:r>
          </w:p>
        </w:tc>
        <w:tc>
          <w:tcPr>
            <w:tcW w:w="2759" w:type="dxa"/>
          </w:tcPr>
          <w:p>
            <w:pPr>
              <w:jc w:val="center"/>
              <w:rPr>
                <w:rFonts w:ascii="宋体" w:hAnsi="宋体" w:cs="宋体"/>
                <w:szCs w:val="21"/>
              </w:rPr>
            </w:pPr>
            <w:r>
              <w:rPr>
                <w:rFonts w:hint="eastAsia" w:ascii="宋体" w:hAnsi="宋体" w:cs="宋体"/>
                <w:bCs/>
                <w:szCs w:val="21"/>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53" w:type="dxa"/>
            <w:tcBorders>
              <w:bottom w:val="single" w:color="auto" w:sz="4" w:space="0"/>
            </w:tcBorders>
          </w:tcPr>
          <w:p>
            <w:pPr>
              <w:jc w:val="center"/>
              <w:rPr>
                <w:rFonts w:ascii="宋体" w:hAnsi="宋体" w:cs="宋体"/>
                <w:b/>
                <w:bCs/>
                <w:szCs w:val="21"/>
              </w:rPr>
            </w:pPr>
            <w:r>
              <w:rPr>
                <w:rFonts w:hint="eastAsia" w:ascii="宋体" w:hAnsi="宋体" w:cs="宋体"/>
                <w:bCs/>
                <w:szCs w:val="21"/>
              </w:rPr>
              <w:t>★★★★★</w:t>
            </w:r>
          </w:p>
        </w:tc>
        <w:tc>
          <w:tcPr>
            <w:tcW w:w="2759" w:type="dxa"/>
            <w:tcBorders>
              <w:bottom w:val="single" w:color="auto" w:sz="4" w:space="0"/>
            </w:tcBorders>
          </w:tcPr>
          <w:p>
            <w:pPr>
              <w:jc w:val="center"/>
              <w:rPr>
                <w:rFonts w:ascii="宋体" w:hAnsi="宋体" w:cs="宋体"/>
                <w:szCs w:val="21"/>
              </w:rPr>
            </w:pPr>
            <w:r>
              <w:rPr>
                <w:rFonts w:hint="eastAsia" w:ascii="宋体" w:hAnsi="宋体" w:cs="宋体"/>
                <w:bCs/>
                <w:szCs w:val="21"/>
              </w:rPr>
              <w:t>高</w:t>
            </w:r>
          </w:p>
        </w:tc>
      </w:tr>
    </w:tbl>
    <w:p>
      <w:pPr>
        <w:pStyle w:val="22"/>
        <w:spacing w:line="360" w:lineRule="auto"/>
        <w:ind w:firstLine="0" w:firstLineChars="0"/>
        <w:jc w:val="left"/>
        <w:rPr>
          <w:rFonts w:ascii="宋体" w:hAnsi="宋体" w:cs="宋体"/>
          <w:sz w:val="24"/>
          <w:szCs w:val="24"/>
        </w:rPr>
      </w:pPr>
    </w:p>
    <w:p>
      <w:pPr>
        <w:spacing w:line="360" w:lineRule="auto"/>
        <w:jc w:val="center"/>
        <w:outlineLvl w:val="0"/>
        <w:rPr>
          <w:rFonts w:ascii="宋体" w:hAnsi="宋体" w:cs="宋体"/>
          <w:b/>
          <w:bCs/>
          <w:color w:val="000000"/>
          <w:sz w:val="28"/>
          <w:szCs w:val="28"/>
        </w:rPr>
      </w:pPr>
      <w:r>
        <w:rPr>
          <w:rFonts w:hint="eastAsia" w:ascii="宋体" w:hAnsi="宋体" w:cs="宋体"/>
          <w:b/>
          <w:bCs/>
          <w:color w:val="000000"/>
          <w:sz w:val="28"/>
          <w:szCs w:val="28"/>
        </w:rPr>
        <w:t>三、名词释义</w:t>
      </w:r>
    </w:p>
    <w:p>
      <w:pPr>
        <w:spacing w:line="360" w:lineRule="auto"/>
        <w:ind w:firstLine="422" w:firstLineChars="200"/>
        <w:rPr>
          <w:rFonts w:ascii="宋体" w:hAnsi="宋体" w:cs="宋体"/>
          <w:szCs w:val="21"/>
        </w:rPr>
      </w:pPr>
      <w:r>
        <w:rPr>
          <w:rFonts w:ascii="宋体" w:hAnsi="宋体" w:cs="宋体"/>
          <w:b/>
          <w:bCs/>
          <w:szCs w:val="21"/>
        </w:rPr>
        <w:t>1.光大理财/本公司</w:t>
      </w:r>
      <w:r>
        <w:rPr>
          <w:rFonts w:ascii="宋体" w:hAnsi="宋体" w:cs="宋体"/>
          <w:b/>
          <w:bCs/>
          <w:color w:val="000000"/>
          <w:szCs w:val="21"/>
        </w:rPr>
        <w:t>/</w:t>
      </w:r>
      <w:r>
        <w:rPr>
          <w:rFonts w:hint="eastAsia" w:ascii="宋体" w:hAnsi="宋体" w:cs="宋体"/>
          <w:b/>
          <w:bCs/>
          <w:szCs w:val="21"/>
        </w:rPr>
        <w:t>理财产品管理人</w:t>
      </w:r>
      <w:r>
        <w:rPr>
          <w:rFonts w:ascii="宋体" w:hAnsi="宋体" w:cs="宋体"/>
          <w:b/>
          <w:bCs/>
          <w:szCs w:val="21"/>
        </w:rPr>
        <w:t>/产品管理人/管理人：</w:t>
      </w:r>
      <w:r>
        <w:rPr>
          <w:rFonts w:hint="eastAsia" w:ascii="宋体" w:hAnsi="宋体" w:cs="宋体"/>
          <w:szCs w:val="21"/>
        </w:rPr>
        <w:t>指光大理财有限责任公司。</w:t>
      </w:r>
    </w:p>
    <w:p>
      <w:pPr>
        <w:spacing w:line="360" w:lineRule="auto"/>
        <w:ind w:firstLine="422" w:firstLineChars="200"/>
        <w:rPr>
          <w:rFonts w:ascii="宋体" w:hAnsi="宋体" w:cs="宋体"/>
          <w:szCs w:val="21"/>
        </w:rPr>
      </w:pPr>
      <w:r>
        <w:rPr>
          <w:rFonts w:ascii="宋体" w:hAnsi="宋体" w:cs="宋体"/>
          <w:b/>
          <w:bCs/>
          <w:szCs w:val="21"/>
        </w:rPr>
        <w:t>2.理财产品/产品：</w:t>
      </w:r>
      <w:r>
        <w:rPr>
          <w:rFonts w:hint="eastAsia" w:ascii="宋体" w:hAnsi="宋体" w:cs="宋体"/>
          <w:szCs w:val="21"/>
        </w:rPr>
        <w:t>指光大理财按照约定条件和实际投资收益情况向投资者支付收益、不保证本金支付和收益水平的非保本理财产品。</w:t>
      </w:r>
    </w:p>
    <w:p>
      <w:pPr>
        <w:spacing w:line="360" w:lineRule="auto"/>
        <w:ind w:firstLine="422" w:firstLineChars="200"/>
        <w:rPr>
          <w:rFonts w:ascii="宋体" w:hAnsi="宋体" w:cs="宋体"/>
          <w:szCs w:val="21"/>
        </w:rPr>
      </w:pPr>
      <w:r>
        <w:rPr>
          <w:rFonts w:ascii="宋体" w:hAnsi="宋体" w:cs="宋体"/>
          <w:b/>
          <w:bCs/>
          <w:szCs w:val="21"/>
        </w:rPr>
        <w:t>3.本理财产品/本产品：</w:t>
      </w:r>
      <w:r>
        <w:rPr>
          <w:rFonts w:hint="eastAsia" w:ascii="宋体" w:hAnsi="宋体" w:cs="宋体"/>
          <w:szCs w:val="21"/>
        </w:rPr>
        <w:t>指光大理财“</w:t>
      </w:r>
      <w:r>
        <w:rPr>
          <w:rFonts w:hint="eastAsia" w:ascii="宋体" w:hAnsi="宋体" w:cs="宋体"/>
          <w:szCs w:val="21"/>
          <w:lang w:eastAsia="zh-CN"/>
        </w:rPr>
        <w:t>阳光金增利稳健天天购3号（7天最低持有）</w:t>
      </w:r>
      <w:r>
        <w:rPr>
          <w:rFonts w:hint="eastAsia" w:ascii="宋体" w:hAnsi="宋体" w:cs="宋体"/>
          <w:szCs w:val="21"/>
        </w:rPr>
        <w:t>”理财产品。</w:t>
      </w:r>
    </w:p>
    <w:p>
      <w:pPr>
        <w:spacing w:line="360" w:lineRule="auto"/>
        <w:ind w:firstLine="422" w:firstLineChars="200"/>
        <w:rPr>
          <w:rFonts w:ascii="宋体" w:hAnsi="宋体" w:cs="宋体"/>
          <w:szCs w:val="21"/>
        </w:rPr>
      </w:pPr>
      <w:r>
        <w:rPr>
          <w:rFonts w:ascii="宋体" w:hAnsi="宋体" w:cs="宋体"/>
          <w:b/>
          <w:bCs/>
          <w:szCs w:val="21"/>
        </w:rPr>
        <w:t>4.理财产品份额/产品份额：</w:t>
      </w:r>
      <w:r>
        <w:rPr>
          <w:rFonts w:hint="eastAsia" w:ascii="宋体" w:hAnsi="宋体" w:cs="宋体"/>
          <w:szCs w:val="21"/>
        </w:rPr>
        <w:t>指投资者持有本理财产品的单位份额。投资者基于其所持有的理财产品单位份额享有理财产品利益、承担理财产品风险。</w:t>
      </w:r>
    </w:p>
    <w:p>
      <w:pPr>
        <w:spacing w:line="360" w:lineRule="auto"/>
        <w:ind w:firstLine="422" w:firstLineChars="200"/>
        <w:rPr>
          <w:rFonts w:ascii="宋体" w:hAnsi="宋体" w:cs="宋体"/>
          <w:szCs w:val="21"/>
        </w:rPr>
      </w:pPr>
      <w:r>
        <w:rPr>
          <w:rFonts w:ascii="宋体" w:hAnsi="宋体" w:cs="宋体"/>
          <w:b/>
          <w:bCs/>
          <w:szCs w:val="21"/>
        </w:rPr>
        <w:t>5.理财产品份额净值：</w:t>
      </w:r>
      <w:r>
        <w:rPr>
          <w:rFonts w:hint="eastAsia" w:ascii="宋体" w:hAnsi="宋体" w:cs="宋体"/>
          <w:szCs w:val="21"/>
        </w:rPr>
        <w:t>指理财产品份额的单位净值，即每</w:t>
      </w:r>
      <w:r>
        <w:rPr>
          <w:rFonts w:ascii="宋体" w:hAnsi="宋体" w:cs="宋体"/>
          <w:szCs w:val="21"/>
        </w:rPr>
        <w:t>1份理财产品份额以人民币计价的价格。</w:t>
      </w:r>
    </w:p>
    <w:p>
      <w:pPr>
        <w:spacing w:line="360" w:lineRule="auto"/>
        <w:ind w:firstLine="422" w:firstLineChars="200"/>
        <w:rPr>
          <w:rFonts w:ascii="宋体" w:hAnsi="宋体" w:cs="宋体"/>
          <w:szCs w:val="21"/>
        </w:rPr>
      </w:pPr>
      <w:r>
        <w:rPr>
          <w:rFonts w:ascii="宋体" w:hAnsi="宋体" w:cs="宋体"/>
          <w:b/>
          <w:bCs/>
          <w:szCs w:val="21"/>
        </w:rPr>
        <w:t>6.理财产品份额累计净值：</w:t>
      </w:r>
      <w:r>
        <w:rPr>
          <w:rFonts w:hint="eastAsia" w:ascii="宋体" w:hAnsi="宋体" w:cs="宋体"/>
          <w:szCs w:val="21"/>
        </w:rPr>
        <w:t>指理财产品份额的单位净值与产品成立后历次累计单位收益分配的总和。</w:t>
      </w:r>
    </w:p>
    <w:p>
      <w:pPr>
        <w:spacing w:line="360" w:lineRule="auto"/>
        <w:ind w:firstLine="401" w:firstLineChars="190"/>
        <w:rPr>
          <w:rFonts w:ascii="宋体" w:hAnsi="宋体" w:cs="宋体"/>
          <w:szCs w:val="21"/>
        </w:rPr>
      </w:pPr>
      <w:r>
        <w:rPr>
          <w:rFonts w:ascii="宋体" w:hAnsi="宋体" w:cs="宋体"/>
          <w:b/>
          <w:szCs w:val="21"/>
        </w:rPr>
        <w:t>7.理财产品份额分类：</w:t>
      </w:r>
      <w:r>
        <w:rPr>
          <w:rFonts w:hint="eastAsia" w:ascii="宋体" w:hAnsi="宋体" w:cs="宋体"/>
          <w:szCs w:val="21"/>
        </w:rPr>
        <w:t>指根据销售服务机构对不同客群设置各类销售安排的情况，将本产品区分为不同的份额类别。各类产品份额分设不同的销售名称及销售代码，分别设置销售服务费率、认（申）购金额与赎回份额，并分别计算和公布产品份额净值和份额累计净值。各类份额的差异性约定将在理财产品说明书中进行明确列举，除明确列举所适用份额类别的条款外，其他条款均适用于全部份额。</w:t>
      </w:r>
    </w:p>
    <w:p>
      <w:pPr>
        <w:spacing w:line="360" w:lineRule="auto"/>
        <w:ind w:firstLine="422" w:firstLineChars="200"/>
        <w:rPr>
          <w:rFonts w:ascii="宋体" w:hAnsi="宋体" w:cs="宋体"/>
          <w:szCs w:val="21"/>
        </w:rPr>
      </w:pPr>
      <w:r>
        <w:rPr>
          <w:rFonts w:ascii="宋体" w:hAnsi="宋体" w:cs="宋体"/>
          <w:b/>
          <w:bCs/>
          <w:szCs w:val="21"/>
        </w:rPr>
        <w:t>8.工作日：</w:t>
      </w:r>
      <w:r>
        <w:rPr>
          <w:rFonts w:hint="eastAsia" w:ascii="宋体" w:hAnsi="宋体" w:cs="宋体"/>
          <w:szCs w:val="21"/>
        </w:rPr>
        <w:t>指国内法定工作日。</w:t>
      </w:r>
    </w:p>
    <w:p>
      <w:pPr>
        <w:spacing w:line="360" w:lineRule="auto"/>
        <w:ind w:firstLine="422" w:firstLineChars="200"/>
        <w:rPr>
          <w:rFonts w:ascii="宋体" w:hAnsi="宋体" w:cs="宋体"/>
          <w:szCs w:val="21"/>
        </w:rPr>
      </w:pPr>
      <w:r>
        <w:rPr>
          <w:rFonts w:ascii="宋体" w:hAnsi="宋体" w:cs="宋体"/>
          <w:b/>
          <w:bCs/>
          <w:szCs w:val="21"/>
        </w:rPr>
        <w:t>9.交易所工作日：</w:t>
      </w:r>
      <w:r>
        <w:rPr>
          <w:rFonts w:hint="eastAsia" w:ascii="宋体" w:hAnsi="宋体" w:cs="宋体"/>
          <w:szCs w:val="21"/>
        </w:rPr>
        <w:t>指中国证券市场的法定交易日。</w:t>
      </w:r>
    </w:p>
    <w:p>
      <w:pPr>
        <w:spacing w:line="360" w:lineRule="auto"/>
        <w:ind w:firstLine="422" w:firstLineChars="200"/>
        <w:rPr>
          <w:rFonts w:ascii="宋体" w:hAnsi="宋体" w:cs="宋体"/>
          <w:szCs w:val="21"/>
        </w:rPr>
      </w:pPr>
      <w:r>
        <w:rPr>
          <w:rFonts w:ascii="宋体" w:hAnsi="宋体" w:cs="宋体"/>
          <w:b/>
          <w:bCs/>
          <w:szCs w:val="21"/>
        </w:rPr>
        <w:t>10.成立日：</w:t>
      </w:r>
      <w:r>
        <w:rPr>
          <w:rFonts w:hint="eastAsia" w:ascii="宋体" w:hAnsi="宋体" w:cs="宋体"/>
          <w:szCs w:val="21"/>
        </w:rPr>
        <w:t>指本产品完成首次募集发行，正式成立运作日。</w:t>
      </w:r>
    </w:p>
    <w:p>
      <w:pPr>
        <w:spacing w:line="360" w:lineRule="auto"/>
        <w:ind w:firstLine="422" w:firstLineChars="200"/>
        <w:rPr>
          <w:rFonts w:ascii="宋体" w:hAnsi="宋体" w:cs="宋体"/>
          <w:szCs w:val="21"/>
        </w:rPr>
      </w:pPr>
      <w:r>
        <w:rPr>
          <w:rFonts w:ascii="宋体" w:hAnsi="宋体" w:cs="宋体"/>
          <w:b/>
          <w:bCs/>
          <w:szCs w:val="21"/>
        </w:rPr>
        <w:t>11.不可抗力：</w:t>
      </w:r>
      <w:r>
        <w:rPr>
          <w:rFonts w:hint="eastAsia" w:ascii="宋体" w:hAnsi="宋体" w:cs="宋体"/>
          <w:szCs w:val="21"/>
        </w:rPr>
        <w:t>指理财产品各方不能预见、不能避免且不能克服的客观情况，该事件妨碍、影响或延误任何一方依理财产品销售文件履行其全部或部分义务。该事件包括但不限于：</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1）地震、台风、海啸、洪水、火灾、停电、瘟疫</w:t>
      </w:r>
      <w:r>
        <w:rPr>
          <w:rFonts w:hint="eastAsia" w:ascii="宋体" w:hAnsi="宋体" w:cs="宋体"/>
          <w:szCs w:val="21"/>
        </w:rPr>
        <w:t>等严重传染病；</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2）战争、政变、恐怖主义行动、骚乱、罢工；</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3）新法律的适用或国家政策的颁布或实施、对原适用法律或国家政策的修改；</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cs="宋体"/>
          <w:color w:val="000000"/>
        </w:rPr>
        <w:t>监管机构</w:t>
      </w:r>
      <w:r>
        <w:rPr>
          <w:rFonts w:hint="eastAsia" w:ascii="宋体" w:hAnsi="宋体" w:cs="宋体"/>
          <w:szCs w:val="21"/>
        </w:rPr>
        <w:t>或其他有权机关强制要求终止理财产品（该等强制要求不可归咎于任何一方）；</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5）因电信部门技术调整或故障等原因而造成的理财产品各方和/或其关联方之服务、营业的中断或者延迟。</w:t>
      </w:r>
    </w:p>
    <w:p>
      <w:pPr>
        <w:spacing w:line="360" w:lineRule="auto"/>
        <w:ind w:firstLine="422" w:firstLineChars="200"/>
        <w:rPr>
          <w:rFonts w:ascii="宋体" w:hAnsi="宋体" w:cs="宋体"/>
          <w:szCs w:val="21"/>
        </w:rPr>
      </w:pPr>
      <w:r>
        <w:rPr>
          <w:rFonts w:ascii="宋体" w:hAnsi="宋体" w:cs="宋体"/>
          <w:b/>
          <w:bCs/>
          <w:szCs w:val="21"/>
        </w:rPr>
        <w:t>1</w:t>
      </w:r>
      <w:r>
        <w:rPr>
          <w:rFonts w:hint="eastAsia" w:ascii="宋体" w:hAnsi="宋体" w:cs="宋体"/>
          <w:b/>
          <w:bCs/>
          <w:szCs w:val="21"/>
        </w:rPr>
        <w:t>2</w:t>
      </w:r>
      <w:r>
        <w:rPr>
          <w:rFonts w:ascii="宋体" w:hAnsi="宋体" w:cs="宋体"/>
          <w:b/>
          <w:bCs/>
          <w:szCs w:val="21"/>
        </w:rPr>
        <w:t>.</w:t>
      </w:r>
      <w:r>
        <w:rPr>
          <w:rFonts w:hint="eastAsia" w:ascii="宋体" w:hAnsi="宋体" w:cs="宋体"/>
          <w:b/>
          <w:bCs/>
          <w:szCs w:val="21"/>
        </w:rPr>
        <w:t>销售服务机构：</w:t>
      </w:r>
      <w:r>
        <w:rPr>
          <w:rFonts w:hint="eastAsia" w:ascii="宋体" w:hAnsi="宋体" w:cs="宋体"/>
          <w:szCs w:val="21"/>
        </w:rPr>
        <w:t>指符合《关于规范金融机构资产管理业务的指导意见》《商业银行理财业务监督管理办法》《商业银行理财子公司管理办法》《理财公司理财产品销售管理暂行办法》和</w:t>
      </w:r>
      <w:r>
        <w:rPr>
          <w:rFonts w:hint="eastAsia" w:ascii="宋体" w:hAnsi="宋体" w:cs="宋体"/>
          <w:color w:val="000000"/>
        </w:rPr>
        <w:t>监管机构</w:t>
      </w:r>
      <w:r>
        <w:rPr>
          <w:rFonts w:hint="eastAsia" w:ascii="宋体" w:hAnsi="宋体" w:cs="宋体"/>
          <w:szCs w:val="21"/>
        </w:rPr>
        <w:t>规定的其他条件，取得理财产品销售资格并与管理人签订了理财产品销售代理协议，代为办理理财产品销售业务的机构。</w:t>
      </w:r>
    </w:p>
    <w:p>
      <w:pPr>
        <w:spacing w:line="360" w:lineRule="auto"/>
        <w:ind w:firstLine="422" w:firstLineChars="200"/>
        <w:rPr>
          <w:rFonts w:ascii="宋体" w:hAnsi="宋体" w:cs="宋体"/>
          <w:szCs w:val="21"/>
        </w:rPr>
      </w:pPr>
      <w:r>
        <w:rPr>
          <w:rFonts w:hint="eastAsia" w:ascii="宋体" w:hAnsi="宋体" w:cs="宋体"/>
          <w:b/>
          <w:bCs/>
          <w:szCs w:val="21"/>
        </w:rPr>
        <w:t>13.流动性受限资产：</w:t>
      </w:r>
      <w:r>
        <w:rPr>
          <w:rFonts w:hint="eastAsia" w:ascii="宋体" w:hAnsi="宋体" w:cs="宋体"/>
          <w:szCs w:val="21"/>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60" w:lineRule="auto"/>
        <w:ind w:firstLine="422" w:firstLineChars="200"/>
        <w:rPr>
          <w:rFonts w:ascii="宋体" w:hAnsi="宋体" w:cs="宋体"/>
          <w:szCs w:val="21"/>
        </w:rPr>
      </w:pPr>
      <w:r>
        <w:rPr>
          <w:rFonts w:hint="eastAsia" w:ascii="宋体" w:hAnsi="宋体" w:cs="宋体"/>
          <w:b/>
          <w:bCs/>
          <w:szCs w:val="21"/>
        </w:rPr>
        <w:t>14.7个工作日可变现资产</w:t>
      </w:r>
      <w:r>
        <w:rPr>
          <w:rFonts w:hint="eastAsia" w:ascii="宋体" w:hAnsi="宋体" w:cs="宋体"/>
          <w:szCs w:val="21"/>
        </w:rPr>
        <w:t>：是指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60" w:lineRule="auto"/>
        <w:ind w:firstLine="422" w:firstLineChars="200"/>
        <w:jc w:val="left"/>
        <w:rPr>
          <w:rFonts w:ascii="宋体" w:hAnsi="宋体" w:cs="宋体"/>
          <w:color w:val="000000"/>
          <w:sz w:val="22"/>
        </w:rPr>
      </w:pPr>
      <w:r>
        <w:rPr>
          <w:rFonts w:hint="eastAsia" w:ascii="宋体" w:hAnsi="宋体" w:cs="宋体"/>
          <w:b/>
          <w:bCs/>
          <w:szCs w:val="21"/>
        </w:rPr>
        <w:t>15.摆动定价</w:t>
      </w:r>
      <w:r>
        <w:rPr>
          <w:rFonts w:hint="eastAsia" w:ascii="宋体" w:hAnsi="宋体" w:cs="宋体"/>
          <w:b/>
          <w:bCs/>
          <w:szCs w:val="21"/>
          <w:lang w:eastAsia="zh-Hans"/>
        </w:rPr>
        <w:t>机制</w:t>
      </w:r>
      <w:r>
        <w:rPr>
          <w:rFonts w:hint="eastAsia" w:ascii="宋体" w:hAnsi="宋体" w:cs="宋体"/>
          <w:b/>
          <w:bCs/>
          <w:szCs w:val="21"/>
        </w:rPr>
        <w:t>：</w:t>
      </w:r>
      <w:r>
        <w:rPr>
          <w:rFonts w:hint="eastAsia" w:ascii="宋体" w:hAnsi="宋体" w:cs="宋体"/>
          <w:szCs w:val="21"/>
        </w:rPr>
        <w:t>是指当开放式公募理财产品遭遇大额</w:t>
      </w:r>
      <w:r>
        <w:rPr>
          <w:rFonts w:ascii="宋体" w:hAnsi="宋体" w:cs="宋体"/>
          <w:szCs w:val="21"/>
        </w:rPr>
        <w:t>申</w:t>
      </w:r>
      <w:r>
        <w:rPr>
          <w:rFonts w:hint="eastAsia" w:ascii="宋体" w:hAnsi="宋体" w:cs="宋体"/>
          <w:szCs w:val="21"/>
        </w:rPr>
        <w:t>购或赎回时，通过调整理财产品份额净值的方式，将理财产品调整投资组合的市场冲击成本分配给实际</w:t>
      </w:r>
      <w:r>
        <w:rPr>
          <w:rFonts w:ascii="宋体" w:hAnsi="宋体" w:cs="宋体"/>
          <w:szCs w:val="21"/>
        </w:rPr>
        <w:t>申</w:t>
      </w:r>
      <w:r>
        <w:rPr>
          <w:rFonts w:hint="eastAsia" w:ascii="宋体" w:hAnsi="宋体" w:cs="宋体"/>
          <w:szCs w:val="21"/>
        </w:rPr>
        <w:t>购、赎回的投资者，从而减少对存量理财产品份额持有人利益的不利影响</w:t>
      </w:r>
      <w:r>
        <w:rPr>
          <w:rFonts w:ascii="宋体" w:hAnsi="宋体" w:cs="宋体"/>
          <w:szCs w:val="21"/>
        </w:rPr>
        <w:t>，</w:t>
      </w:r>
      <w:r>
        <w:rPr>
          <w:rFonts w:hint="eastAsia" w:ascii="宋体" w:hAnsi="宋体" w:cs="宋体"/>
          <w:szCs w:val="21"/>
        </w:rPr>
        <w:t>以期</w:t>
      </w:r>
      <w:r>
        <w:rPr>
          <w:rFonts w:ascii="宋体" w:hAnsi="宋体" w:cs="宋体"/>
          <w:szCs w:val="21"/>
        </w:rPr>
        <w:t>投资者的合法权益得到公平对待</w:t>
      </w:r>
      <w:r>
        <w:rPr>
          <w:rFonts w:hint="eastAsia" w:ascii="宋体" w:hAnsi="宋体" w:cs="宋体"/>
          <w:szCs w:val="21"/>
        </w:rPr>
        <w:t>。</w:t>
      </w:r>
    </w:p>
    <w:p>
      <w:pPr>
        <w:spacing w:line="360" w:lineRule="auto"/>
        <w:jc w:val="center"/>
        <w:rPr>
          <w:rFonts w:ascii="宋体" w:hAnsi="宋体" w:cs="宋体"/>
          <w:b/>
          <w:bCs/>
          <w:sz w:val="28"/>
          <w:szCs w:val="28"/>
        </w:rPr>
      </w:pPr>
    </w:p>
    <w:p>
      <w:pPr>
        <w:spacing w:line="360" w:lineRule="auto"/>
        <w:jc w:val="center"/>
        <w:outlineLvl w:val="0"/>
        <w:rPr>
          <w:rFonts w:ascii="宋体" w:hAnsi="宋体" w:cs="宋体"/>
          <w:b/>
          <w:bCs/>
          <w:sz w:val="28"/>
          <w:szCs w:val="28"/>
        </w:rPr>
      </w:pPr>
      <w:r>
        <w:rPr>
          <w:rFonts w:ascii="宋体" w:hAnsi="宋体" w:cs="宋体"/>
          <w:b/>
          <w:bCs/>
          <w:sz w:val="28"/>
          <w:szCs w:val="28"/>
        </w:rPr>
        <w:t>四、投资管理</w:t>
      </w:r>
    </w:p>
    <w:p>
      <w:pPr>
        <w:spacing w:line="360" w:lineRule="auto"/>
        <w:ind w:firstLine="422" w:firstLineChars="200"/>
        <w:outlineLvl w:val="1"/>
        <w:rPr>
          <w:rFonts w:ascii="宋体" w:hAnsi="宋体" w:cs="宋体"/>
          <w:b/>
          <w:szCs w:val="21"/>
        </w:rPr>
      </w:pPr>
      <w:r>
        <w:rPr>
          <w:rFonts w:hint="eastAsia" w:ascii="宋体" w:hAnsi="宋体" w:cs="宋体"/>
          <w:b/>
          <w:szCs w:val="21"/>
        </w:rPr>
        <w:t>（一）投资范围</w:t>
      </w:r>
    </w:p>
    <w:p>
      <w:pPr>
        <w:spacing w:line="360" w:lineRule="auto"/>
        <w:ind w:firstLine="420" w:firstLineChars="200"/>
        <w:rPr>
          <w:rFonts w:ascii="宋体" w:hAnsi="宋体" w:cs="宋体"/>
          <w:bCs/>
          <w:szCs w:val="21"/>
        </w:rPr>
      </w:pPr>
      <w:r>
        <w:rPr>
          <w:rFonts w:hint="eastAsia" w:ascii="宋体" w:hAnsi="宋体" w:cs="宋体"/>
          <w:bCs/>
          <w:szCs w:val="21"/>
        </w:rPr>
        <w:t>本产品投资范围为投资于境内外市场的固定收益类、权益类、金融衍生品类资产。其中：</w:t>
      </w:r>
    </w:p>
    <w:p>
      <w:pPr>
        <w:spacing w:line="360" w:lineRule="auto"/>
        <w:ind w:firstLine="420" w:firstLineChars="200"/>
        <w:rPr>
          <w:rFonts w:ascii="宋体" w:hAnsi="宋体" w:cs="宋体"/>
          <w:bCs/>
          <w:szCs w:val="21"/>
        </w:rPr>
      </w:pPr>
      <w:r>
        <w:rPr>
          <w:rFonts w:hint="eastAsia" w:ascii="宋体" w:hAnsi="宋体" w:cs="宋体"/>
          <w:bCs/>
          <w:szCs w:val="21"/>
        </w:rPr>
        <w:t>固定收益类资产包括：国债、地方政府债券、中央银行票据、政府机构债券、金融债券、银行存款、大额存单、同业存单、债券回购、公司信用类债券、资产支持证券、可转债、可交换债及</w:t>
      </w:r>
      <w:r>
        <w:rPr>
          <w:rFonts w:hint="eastAsia" w:ascii="宋体" w:hAnsi="宋体" w:cs="宋体"/>
          <w:bCs/>
          <w:szCs w:val="21"/>
          <w:lang w:val="en-US" w:eastAsia="zh-CN"/>
        </w:rPr>
        <w:t>监管机构</w:t>
      </w:r>
      <w:r>
        <w:rPr>
          <w:rFonts w:hint="eastAsia" w:ascii="宋体" w:hAnsi="宋体" w:cs="宋体"/>
          <w:bCs/>
          <w:szCs w:val="21"/>
        </w:rPr>
        <w:t>认可的其他资产。</w:t>
      </w:r>
    </w:p>
    <w:p>
      <w:pPr>
        <w:spacing w:line="360" w:lineRule="auto"/>
        <w:ind w:firstLine="420" w:firstLineChars="200"/>
        <w:rPr>
          <w:rFonts w:ascii="宋体" w:hAnsi="宋体" w:cs="宋体"/>
          <w:bCs/>
          <w:szCs w:val="21"/>
        </w:rPr>
      </w:pPr>
      <w:r>
        <w:rPr>
          <w:rFonts w:hint="eastAsia" w:ascii="宋体" w:hAnsi="宋体" w:cs="宋体"/>
          <w:bCs/>
          <w:szCs w:val="21"/>
        </w:rPr>
        <w:t>权益类资产包括：优先股。</w:t>
      </w:r>
    </w:p>
    <w:p>
      <w:pPr>
        <w:spacing w:line="360" w:lineRule="auto"/>
        <w:ind w:firstLine="420" w:firstLineChars="200"/>
        <w:rPr>
          <w:rFonts w:ascii="宋体" w:hAnsi="宋体" w:cs="宋体"/>
          <w:bCs/>
          <w:szCs w:val="21"/>
        </w:rPr>
      </w:pPr>
      <w:r>
        <w:rPr>
          <w:rFonts w:hint="eastAsia" w:ascii="宋体" w:hAnsi="宋体" w:cs="宋体"/>
          <w:bCs/>
          <w:szCs w:val="21"/>
        </w:rPr>
        <w:t>金融衍生品类资产以套期保值为目的，包括：利率互换、国债期货、信用风险缓释凭证、债券总收益互换等金融衍生品及</w:t>
      </w:r>
      <w:r>
        <w:rPr>
          <w:rFonts w:hint="eastAsia" w:ascii="宋体" w:hAnsi="宋体" w:cs="宋体"/>
          <w:bCs/>
          <w:szCs w:val="21"/>
          <w:lang w:val="en-US" w:eastAsia="zh-CN"/>
        </w:rPr>
        <w:t>监管机构</w:t>
      </w:r>
      <w:r>
        <w:rPr>
          <w:rFonts w:hint="eastAsia" w:ascii="宋体" w:hAnsi="宋体" w:cs="宋体"/>
          <w:bCs/>
          <w:szCs w:val="21"/>
        </w:rPr>
        <w:t>认可的其他资产。</w:t>
      </w:r>
    </w:p>
    <w:p>
      <w:pPr>
        <w:spacing w:line="360" w:lineRule="auto"/>
        <w:ind w:firstLine="420" w:firstLineChars="200"/>
        <w:rPr>
          <w:rFonts w:ascii="宋体" w:hAnsi="宋体" w:cs="宋体"/>
          <w:bCs/>
          <w:szCs w:val="21"/>
        </w:rPr>
      </w:pPr>
      <w:r>
        <w:rPr>
          <w:rFonts w:hint="eastAsia" w:ascii="宋体" w:hAnsi="宋体" w:cs="宋体"/>
          <w:bCs/>
          <w:szCs w:val="21"/>
        </w:rPr>
        <w:t>本产品可以投资于以上述资产为投资对象的公募证券投资基金及其他资产管理产品。其中，境外金融工具可通过资产管理产品、结构性存款、结构性票据等进行投资。</w:t>
      </w:r>
    </w:p>
    <w:p>
      <w:pPr>
        <w:spacing w:line="360" w:lineRule="auto"/>
        <w:ind w:firstLine="422" w:firstLineChars="200"/>
        <w:outlineLvl w:val="1"/>
        <w:rPr>
          <w:rFonts w:ascii="宋体" w:hAnsi="宋体" w:cs="宋体"/>
          <w:b/>
          <w:szCs w:val="21"/>
        </w:rPr>
      </w:pPr>
      <w:r>
        <w:rPr>
          <w:rFonts w:hint="eastAsia" w:ascii="宋体" w:hAnsi="宋体" w:cs="宋体"/>
          <w:b/>
          <w:szCs w:val="21"/>
        </w:rPr>
        <w:t>（二）投资比例</w:t>
      </w:r>
    </w:p>
    <w:p>
      <w:pPr>
        <w:spacing w:line="360" w:lineRule="auto"/>
        <w:ind w:firstLine="420" w:firstLineChars="200"/>
        <w:rPr>
          <w:rFonts w:ascii="宋体" w:hAnsi="宋体" w:cs="宋体"/>
          <w:bCs/>
          <w:szCs w:val="21"/>
        </w:rPr>
      </w:pPr>
      <w:r>
        <w:rPr>
          <w:rFonts w:hint="eastAsia" w:ascii="宋体" w:hAnsi="宋体" w:cs="宋体"/>
          <w:bCs/>
          <w:szCs w:val="21"/>
        </w:rPr>
        <w:t>1.固定收益类资产的投资比例不低于80%，权益类资产投资比例不高于20%，金融衍生品类资产（以合约价值计）的投资比例不高于20%,且金融衍生品类资产（以保证金计）的投资比例不高于5%。其中，可转债、可交换债的投资比例不超过5%。本产品将会在产品成立日之后的15个交易所工作日内使资产配置比例符合上述规定。非因管理人主观因素导致突破上述比例限制的，本产品管理人在流动性受限资产可出售、可转让或者恢复交易的15个交易日内调整至符合要求。</w:t>
      </w:r>
    </w:p>
    <w:p>
      <w:pPr>
        <w:spacing w:line="360" w:lineRule="auto"/>
        <w:ind w:firstLine="420" w:firstLineChars="200"/>
        <w:rPr>
          <w:rFonts w:ascii="宋体" w:hAnsi="宋体" w:cs="宋体"/>
          <w:bCs/>
          <w:szCs w:val="21"/>
        </w:rPr>
      </w:pPr>
      <w:r>
        <w:rPr>
          <w:rFonts w:ascii="宋体" w:hAnsi="宋体" w:cs="宋体"/>
          <w:bCs/>
          <w:szCs w:val="21"/>
        </w:rPr>
        <w:t>2.现金或者到期日在一年以内的国债、中央银行票据和政策性金融债券占产品资产净值的比例不低于5%。</w:t>
      </w:r>
    </w:p>
    <w:p>
      <w:pPr>
        <w:spacing w:line="360" w:lineRule="auto"/>
        <w:ind w:firstLine="420" w:firstLineChars="200"/>
        <w:rPr>
          <w:rFonts w:ascii="宋体" w:hAnsi="宋体" w:cs="宋体"/>
          <w:bCs/>
          <w:szCs w:val="21"/>
        </w:rPr>
      </w:pPr>
      <w:r>
        <w:rPr>
          <w:rFonts w:ascii="宋体" w:hAnsi="宋体" w:cs="宋体"/>
          <w:bCs/>
          <w:szCs w:val="21"/>
        </w:rPr>
        <w:t>3.在开放日前一工作日内，</w:t>
      </w:r>
      <w:r>
        <w:rPr>
          <w:rFonts w:hint="eastAsia" w:ascii="宋体" w:hAnsi="宋体" w:cs="宋体"/>
          <w:bCs/>
          <w:szCs w:val="21"/>
        </w:rPr>
        <w:t>本</w:t>
      </w:r>
      <w:r>
        <w:rPr>
          <w:rFonts w:ascii="宋体" w:hAnsi="宋体" w:cs="宋体"/>
          <w:bCs/>
          <w:szCs w:val="21"/>
        </w:rPr>
        <w:t>理财产品7个工作日可变现资产的可变现价值应当不低于该产品资产净值的10%。</w:t>
      </w:r>
    </w:p>
    <w:p>
      <w:pPr>
        <w:spacing w:line="360" w:lineRule="auto"/>
        <w:ind w:firstLine="420" w:firstLineChars="200"/>
      </w:pPr>
      <w:r>
        <w:rPr>
          <w:rFonts w:ascii="宋体" w:hAnsi="宋体" w:cs="宋体"/>
          <w:bCs/>
          <w:szCs w:val="21"/>
        </w:rPr>
        <w:t>4.直</w:t>
      </w:r>
      <w:r>
        <w:rPr>
          <w:rFonts w:hint="eastAsia"/>
        </w:rPr>
        <w:t>接投资于流动性受限资产的市值在开放日不超过该产品净资产的15%。因证券市场波动、上市公司股票停牌、理财产品规模变动等因素导致理财产品不符合本条规定比例限制的，本理财产品不得主动新增投资流动性受限资产。</w:t>
      </w:r>
    </w:p>
    <w:p>
      <w:pPr>
        <w:spacing w:line="360" w:lineRule="auto"/>
        <w:ind w:firstLine="422" w:firstLineChars="200"/>
        <w:jc w:val="left"/>
        <w:rPr>
          <w:rFonts w:ascii="宋体" w:hAnsi="宋体" w:cs="宋体"/>
          <w:szCs w:val="21"/>
        </w:rPr>
      </w:pPr>
      <w:r>
        <w:rPr>
          <w:rFonts w:hint="eastAsia" w:ascii="宋体" w:hAnsi="宋体" w:cs="宋体"/>
          <w:b/>
          <w:bCs/>
          <w:szCs w:val="21"/>
        </w:rPr>
        <w:t>5.</w:t>
      </w:r>
      <w:r>
        <w:rPr>
          <w:rFonts w:hint="eastAsia" w:ascii="宋体" w:hAnsi="宋体" w:cs="宋体"/>
          <w:b/>
          <w:szCs w:val="21"/>
        </w:rPr>
        <w:t>本产品若投资不存在活跃交易市场，并且需要采用估值技术确定公允价值的资产，其投资比例应低于该产品净资产50%。</w:t>
      </w:r>
      <w:r>
        <w:rPr>
          <w:rFonts w:hint="eastAsia"/>
          <w:b/>
          <w:bCs/>
        </w:rPr>
        <w:t>非因管理人主观因素导致突破前款规定比例限制的，本理财产品不得新增投资上述资产。</w:t>
      </w:r>
    </w:p>
    <w:p>
      <w:pPr>
        <w:spacing w:line="360" w:lineRule="auto"/>
        <w:ind w:firstLine="422" w:firstLineChars="200"/>
        <w:outlineLvl w:val="1"/>
        <w:rPr>
          <w:rFonts w:ascii="宋体" w:hAnsi="宋体" w:cs="宋体"/>
          <w:b/>
          <w:szCs w:val="21"/>
        </w:rPr>
      </w:pPr>
      <w:r>
        <w:rPr>
          <w:rFonts w:hint="eastAsia" w:ascii="宋体" w:hAnsi="宋体" w:cs="宋体"/>
          <w:b/>
          <w:szCs w:val="21"/>
        </w:rPr>
        <w:t>（三）投资策略</w:t>
      </w:r>
    </w:p>
    <w:p>
      <w:pPr>
        <w:spacing w:line="360" w:lineRule="auto"/>
        <w:ind w:firstLine="420" w:firstLineChars="200"/>
        <w:rPr>
          <w:rFonts w:ascii="宋体" w:hAnsi="宋体" w:cs="宋体"/>
          <w:bCs/>
          <w:szCs w:val="21"/>
        </w:rPr>
      </w:pPr>
      <w:r>
        <w:rPr>
          <w:rFonts w:hint="eastAsia" w:ascii="宋体" w:hAnsi="宋体" w:cs="宋体"/>
          <w:bCs/>
          <w:szCs w:val="21"/>
        </w:rPr>
        <w:t>本产品利用定性分析和定量分析方法，通过对金融工具的积极投资，在有效控制投资风险和保持流动性的基础上，力争获得高于业绩比较基准的投资回报，主要投资策略包括资产配置策略、利率策略、收益率曲线策略、信用策略、杠杆策略、权益投资策略等。</w:t>
      </w:r>
    </w:p>
    <w:p>
      <w:pPr>
        <w:spacing w:line="360" w:lineRule="auto"/>
        <w:ind w:firstLine="420" w:firstLineChars="200"/>
        <w:outlineLvl w:val="2"/>
        <w:rPr>
          <w:rFonts w:ascii="宋体" w:hAnsi="宋体" w:cs="宋体"/>
          <w:bCs/>
          <w:szCs w:val="21"/>
        </w:rPr>
      </w:pPr>
      <w:r>
        <w:rPr>
          <w:rFonts w:hint="eastAsia" w:ascii="宋体" w:hAnsi="宋体" w:cs="宋体"/>
          <w:bCs/>
          <w:szCs w:val="21"/>
        </w:rPr>
        <w:t>1.资产配置策略</w:t>
      </w:r>
    </w:p>
    <w:p>
      <w:pPr>
        <w:spacing w:line="360" w:lineRule="auto"/>
        <w:ind w:firstLine="420" w:firstLineChars="200"/>
        <w:rPr>
          <w:rFonts w:ascii="宋体" w:hAnsi="宋体" w:cs="宋体"/>
          <w:bCs/>
          <w:szCs w:val="21"/>
        </w:rPr>
      </w:pPr>
      <w:r>
        <w:rPr>
          <w:rFonts w:hint="eastAsia" w:ascii="宋体" w:hAnsi="宋体" w:cs="宋体"/>
          <w:bCs/>
          <w:szCs w:val="21"/>
        </w:rPr>
        <w:t>产品管理人根据市场情况和可投资品种的容量，在严谨深入的研究分析基础上，综合考量宏观经济情况，流动性情况，债券信用评级，各类资产的收益率水平，确定各类资产的配置比例。</w:t>
      </w:r>
    </w:p>
    <w:p>
      <w:pPr>
        <w:spacing w:line="360" w:lineRule="auto"/>
        <w:ind w:firstLine="420" w:firstLineChars="200"/>
        <w:outlineLvl w:val="2"/>
        <w:rPr>
          <w:rFonts w:ascii="宋体" w:hAnsi="宋体" w:cs="宋体"/>
          <w:bCs/>
          <w:szCs w:val="21"/>
        </w:rPr>
      </w:pPr>
      <w:r>
        <w:rPr>
          <w:rFonts w:hint="eastAsia" w:ascii="宋体" w:hAnsi="宋体" w:cs="宋体"/>
          <w:bCs/>
          <w:szCs w:val="21"/>
        </w:rPr>
        <w:t>2.利率策略</w:t>
      </w:r>
    </w:p>
    <w:p>
      <w:pPr>
        <w:spacing w:line="360" w:lineRule="auto"/>
        <w:ind w:firstLine="420" w:firstLineChars="200"/>
        <w:rPr>
          <w:rFonts w:ascii="宋体" w:hAnsi="宋体" w:cs="宋体"/>
          <w:bCs/>
          <w:szCs w:val="21"/>
        </w:rPr>
      </w:pPr>
      <w:r>
        <w:rPr>
          <w:rFonts w:hint="eastAsia" w:ascii="宋体" w:hAnsi="宋体" w:cs="宋体"/>
          <w:bCs/>
          <w:szCs w:val="21"/>
        </w:rPr>
        <w:t>本产品管理人重点关注GDP、通货膨胀、固定资产投资、对外贸易情况、全球经济形势等宏观经济指标。通过对宏观经济形势的深度分析，对未来市场利率变动方向的预期，实现对债券投资组合久期的正确把握。</w:t>
      </w:r>
    </w:p>
    <w:p>
      <w:pPr>
        <w:spacing w:line="360" w:lineRule="auto"/>
        <w:ind w:firstLine="420" w:firstLineChars="200"/>
        <w:outlineLvl w:val="2"/>
        <w:rPr>
          <w:rFonts w:ascii="宋体" w:hAnsi="宋体" w:cs="宋体"/>
          <w:bCs/>
          <w:szCs w:val="21"/>
        </w:rPr>
      </w:pPr>
      <w:r>
        <w:rPr>
          <w:rFonts w:hint="eastAsia" w:ascii="宋体" w:hAnsi="宋体" w:cs="宋体"/>
          <w:bCs/>
          <w:szCs w:val="21"/>
        </w:rPr>
        <w:t>3.收益率曲线策略</w:t>
      </w:r>
    </w:p>
    <w:p>
      <w:pPr>
        <w:spacing w:line="360" w:lineRule="auto"/>
        <w:ind w:firstLine="420" w:firstLineChars="200"/>
        <w:rPr>
          <w:rFonts w:ascii="宋体" w:hAnsi="宋体" w:cs="宋体"/>
          <w:bCs/>
          <w:szCs w:val="21"/>
        </w:rPr>
      </w:pPr>
      <w:r>
        <w:rPr>
          <w:rFonts w:hint="eastAsia" w:ascii="宋体" w:hAnsi="宋体" w:cs="宋体"/>
          <w:bCs/>
          <w:szCs w:val="21"/>
        </w:rPr>
        <w:t>收益率曲线策略是以对收益率曲线形状变动的预期为依据建立或改变组合期限结构。要运用收益率曲线策略，必须先预测收益率曲线变动的方向，然后根据收益率曲线形状变动的情景分析，构建组合的期限结构。</w:t>
      </w:r>
    </w:p>
    <w:p>
      <w:pPr>
        <w:spacing w:line="360" w:lineRule="auto"/>
        <w:ind w:firstLine="420" w:firstLineChars="200"/>
        <w:outlineLvl w:val="2"/>
        <w:rPr>
          <w:rFonts w:ascii="宋体" w:hAnsi="宋体" w:cs="宋体"/>
          <w:bCs/>
          <w:szCs w:val="21"/>
        </w:rPr>
      </w:pPr>
      <w:r>
        <w:rPr>
          <w:rFonts w:hint="eastAsia" w:ascii="宋体" w:hAnsi="宋体" w:cs="宋体"/>
          <w:bCs/>
          <w:szCs w:val="21"/>
        </w:rPr>
        <w:t>4.信用策略</w:t>
      </w:r>
    </w:p>
    <w:p>
      <w:pPr>
        <w:spacing w:line="360" w:lineRule="auto"/>
        <w:ind w:firstLine="420" w:firstLineChars="200"/>
        <w:rPr>
          <w:rFonts w:ascii="宋体" w:hAnsi="宋体" w:cs="宋体"/>
          <w:bCs/>
          <w:szCs w:val="21"/>
        </w:rPr>
      </w:pPr>
      <w:r>
        <w:rPr>
          <w:rFonts w:hint="eastAsia" w:ascii="宋体" w:hAnsi="宋体" w:cs="宋体"/>
          <w:bCs/>
          <w:szCs w:val="21"/>
        </w:rPr>
        <w:t>产品管理人通过建立完善的内部信用评级体系，通过宏观、中观、微观等自上而下对发行人进行研究，并从经营风险、财务风险、外部支持等多方面对个券进行全面研究，积极主动挖掘到风险收益匹配度较好的投资品种，为实时交易提供参考。并重点研究信用市场环境的变化，掌握并预测信用利差波动的规律，以此作为信用品种配置时机的重要依据。</w:t>
      </w:r>
    </w:p>
    <w:p>
      <w:pPr>
        <w:spacing w:line="360" w:lineRule="auto"/>
        <w:ind w:firstLine="420" w:firstLineChars="200"/>
        <w:outlineLvl w:val="2"/>
        <w:rPr>
          <w:rFonts w:ascii="宋体" w:hAnsi="宋体" w:cs="宋体"/>
          <w:bCs/>
          <w:szCs w:val="21"/>
        </w:rPr>
      </w:pPr>
      <w:r>
        <w:rPr>
          <w:rFonts w:hint="eastAsia" w:ascii="宋体" w:hAnsi="宋体" w:cs="宋体"/>
          <w:bCs/>
          <w:szCs w:val="21"/>
        </w:rPr>
        <w:t>5.杠杆策略</w:t>
      </w:r>
    </w:p>
    <w:p>
      <w:pPr>
        <w:spacing w:line="360" w:lineRule="auto"/>
        <w:ind w:firstLine="420" w:firstLineChars="200"/>
        <w:rPr>
          <w:rFonts w:ascii="宋体" w:hAnsi="宋体" w:cs="宋体"/>
          <w:bCs/>
          <w:szCs w:val="21"/>
        </w:rPr>
      </w:pPr>
      <w:r>
        <w:rPr>
          <w:rFonts w:hint="eastAsia" w:ascii="宋体" w:hAnsi="宋体" w:cs="宋体"/>
          <w:bCs/>
          <w:szCs w:val="21"/>
        </w:rPr>
        <w:t>本产品杠杆策略为利用债券质押式回购进行融资，根据需要和配置情况合理选择银行间市场和交易所市场的债券质押式回购品种，保持组合的收益大于融资成本，追求稳定的收益增厚。</w:t>
      </w:r>
    </w:p>
    <w:p>
      <w:pPr>
        <w:spacing w:line="360" w:lineRule="auto"/>
        <w:ind w:firstLine="420" w:firstLineChars="200"/>
        <w:outlineLvl w:val="2"/>
        <w:rPr>
          <w:rFonts w:ascii="宋体" w:hAnsi="宋体" w:cs="宋体"/>
          <w:bCs/>
          <w:szCs w:val="21"/>
        </w:rPr>
      </w:pPr>
      <w:r>
        <w:rPr>
          <w:rFonts w:hint="eastAsia" w:ascii="宋体" w:hAnsi="宋体" w:cs="宋体"/>
          <w:bCs/>
          <w:szCs w:val="21"/>
        </w:rPr>
        <w:t>6.权益投资策略</w:t>
      </w:r>
    </w:p>
    <w:p>
      <w:pPr>
        <w:spacing w:line="360" w:lineRule="auto"/>
        <w:ind w:firstLine="420" w:firstLineChars="200"/>
        <w:rPr>
          <w:rFonts w:ascii="宋体" w:hAnsi="宋体" w:cs="宋体"/>
          <w:b/>
          <w:szCs w:val="21"/>
        </w:rPr>
      </w:pPr>
      <w:r>
        <w:rPr>
          <w:rFonts w:hint="eastAsia" w:ascii="宋体" w:hAnsi="宋体" w:cs="宋体"/>
          <w:bCs/>
          <w:szCs w:val="21"/>
        </w:rPr>
        <w:t>本产品通过自上而下的研究，选择景气度较高的行业进行投资，并在行业中选取优秀的个股或者重点配置该行业的基金进行配置。品种选择上，本产品选择相对波动率低、具有稳健收益的品种。</w:t>
      </w:r>
    </w:p>
    <w:p>
      <w:pPr>
        <w:spacing w:line="360" w:lineRule="auto"/>
        <w:ind w:firstLine="422" w:firstLineChars="200"/>
        <w:outlineLvl w:val="1"/>
        <w:rPr>
          <w:rFonts w:ascii="宋体" w:hAnsi="宋体" w:cs="宋体"/>
          <w:b/>
          <w:szCs w:val="21"/>
        </w:rPr>
      </w:pPr>
      <w:r>
        <w:rPr>
          <w:rFonts w:hint="eastAsia" w:ascii="宋体" w:hAnsi="宋体" w:cs="宋体"/>
          <w:b/>
          <w:szCs w:val="21"/>
        </w:rPr>
        <w:t>（四）业绩比较基准</w:t>
      </w:r>
    </w:p>
    <w:p>
      <w:pPr>
        <w:spacing w:line="360" w:lineRule="auto"/>
        <w:ind w:firstLine="420" w:firstLineChars="200"/>
        <w:rPr>
          <w:rFonts w:ascii="宋体" w:hAnsi="宋体" w:cs="宋体"/>
          <w:bCs/>
          <w:szCs w:val="21"/>
        </w:rPr>
      </w:pPr>
      <w:r>
        <w:rPr>
          <w:rFonts w:ascii="宋体" w:hAnsi="宋体" w:cs="宋体"/>
          <w:bCs/>
          <w:szCs w:val="21"/>
        </w:rPr>
        <w:t>1.</w:t>
      </w:r>
      <w:r>
        <w:rPr>
          <w:rFonts w:hint="eastAsia" w:ascii="宋体" w:hAnsi="宋体" w:cs="宋体"/>
          <w:bCs/>
          <w:szCs w:val="21"/>
        </w:rPr>
        <w:t>本产品的业绩比较基准（年化）：D类份额：</w:t>
      </w:r>
      <w:r>
        <w:rPr>
          <w:rFonts w:hint="eastAsia" w:ascii="宋体" w:hAnsi="宋体" w:cs="宋体"/>
          <w:bCs/>
          <w:szCs w:val="21"/>
          <w:lang w:eastAsia="zh-CN"/>
        </w:rPr>
        <w:t>1.90%-2.90%，</w:t>
      </w:r>
      <w:r>
        <w:rPr>
          <w:rFonts w:hint="eastAsia" w:ascii="宋体" w:hAnsi="宋体" w:cs="宋体"/>
          <w:bCs/>
          <w:szCs w:val="21"/>
        </w:rPr>
        <w:t>H类份额：</w:t>
      </w:r>
      <w:r>
        <w:rPr>
          <w:rFonts w:hint="eastAsia" w:ascii="宋体" w:hAnsi="宋体" w:cs="宋体"/>
          <w:bCs/>
          <w:szCs w:val="21"/>
          <w:lang w:eastAsia="zh-CN"/>
        </w:rPr>
        <w:t>2.00%-3.00%。</w:t>
      </w:r>
    </w:p>
    <w:p>
      <w:pPr>
        <w:spacing w:line="360" w:lineRule="auto"/>
        <w:ind w:firstLine="420" w:firstLineChars="200"/>
        <w:rPr>
          <w:rFonts w:ascii="宋体" w:hAnsi="宋体" w:cs="宋体"/>
          <w:bCs/>
          <w:szCs w:val="21"/>
        </w:rPr>
      </w:pPr>
      <w:r>
        <w:rPr>
          <w:rFonts w:ascii="宋体" w:hAnsi="宋体" w:cs="宋体"/>
          <w:bCs/>
          <w:szCs w:val="21"/>
        </w:rPr>
        <w:t>2.</w:t>
      </w:r>
      <w:r>
        <w:rPr>
          <w:rFonts w:hint="eastAsia" w:ascii="宋体" w:hAnsi="宋体" w:cs="宋体"/>
          <w:bCs/>
          <w:szCs w:val="21"/>
        </w:rPr>
        <w:t>业绩比较基准的测算依据</w:t>
      </w:r>
    </w:p>
    <w:p>
      <w:pPr>
        <w:spacing w:line="360" w:lineRule="auto"/>
        <w:ind w:firstLine="420" w:firstLineChars="200"/>
        <w:rPr>
          <w:rFonts w:ascii="宋体" w:hAnsi="宋体" w:cs="宋体"/>
          <w:bCs/>
          <w:szCs w:val="21"/>
        </w:rPr>
      </w:pPr>
      <w:r>
        <w:rPr>
          <w:rFonts w:hint="eastAsia" w:ascii="宋体" w:hAnsi="宋体" w:cs="宋体"/>
          <w:bCs/>
          <w:szCs w:val="21"/>
        </w:rPr>
        <w:t>本产品主要投资于债券等，适度投资于优先股，业绩比较基准根据策略目标基准中债综合财富指数等历史数据进行测算。业绩比较基准是管理人基于产品性质、投资策略、过往经验等因素对产品设定的投资目标，业绩比较基准不是预期收益率，不代表产品的未来表现和实际收益，不构成对产品收益的承诺。</w:t>
      </w:r>
      <w:r>
        <w:rPr>
          <w:rFonts w:ascii="宋体" w:hAnsi="宋体" w:cs="宋体"/>
          <w:bCs/>
          <w:szCs w:val="21"/>
        </w:rPr>
        <w:t>如</w:t>
      </w:r>
      <w:r>
        <w:rPr>
          <w:rFonts w:hint="eastAsia" w:ascii="宋体" w:hAnsi="宋体" w:cs="宋体"/>
          <w:bCs/>
          <w:szCs w:val="21"/>
        </w:rPr>
        <w:t>遇调整业绩比较基准的情况，管理人应至少提前2</w:t>
      </w:r>
      <w:r>
        <w:rPr>
          <w:rFonts w:ascii="宋体" w:hAnsi="宋体" w:cs="宋体"/>
          <w:bCs/>
          <w:szCs w:val="21"/>
        </w:rPr>
        <w:t>个工作日公布调整后的业绩比较基准；实际业绩比较基准以管理人公布的理财产品业绩比较基准为准</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szCs w:val="21"/>
        </w:rPr>
        <w:t>各类产品份额业绩比较基准存在差异仅因销售服务机构对各类份额收取的销售服务费率不同所致。</w:t>
      </w:r>
    </w:p>
    <w:p>
      <w:pPr>
        <w:spacing w:line="360" w:lineRule="auto"/>
        <w:ind w:firstLine="422" w:firstLineChars="200"/>
        <w:outlineLvl w:val="1"/>
        <w:rPr>
          <w:rFonts w:ascii="宋体" w:hAnsi="宋体" w:cs="宋体"/>
          <w:b/>
          <w:szCs w:val="21"/>
        </w:rPr>
      </w:pPr>
      <w:r>
        <w:rPr>
          <w:rFonts w:hint="eastAsia" w:ascii="宋体" w:hAnsi="宋体" w:cs="宋体"/>
          <w:b/>
          <w:szCs w:val="21"/>
        </w:rPr>
        <w:t>（五）投资限制</w:t>
      </w:r>
    </w:p>
    <w:p>
      <w:pPr>
        <w:spacing w:line="360" w:lineRule="auto"/>
        <w:ind w:firstLine="420" w:firstLineChars="200"/>
        <w:outlineLvl w:val="2"/>
        <w:rPr>
          <w:rFonts w:ascii="宋体" w:hAnsi="宋体" w:cs="宋体"/>
          <w:bCs/>
          <w:szCs w:val="21"/>
        </w:rPr>
      </w:pPr>
      <w:r>
        <w:rPr>
          <w:rFonts w:hint="eastAsia" w:ascii="宋体" w:hAnsi="宋体" w:cs="宋体"/>
          <w:bCs/>
          <w:szCs w:val="21"/>
        </w:rPr>
        <w:t>1.投资集中度限制</w:t>
      </w:r>
    </w:p>
    <w:p>
      <w:pPr>
        <w:spacing w:line="360" w:lineRule="auto"/>
        <w:ind w:firstLine="420" w:firstLineChars="200"/>
        <w:rPr>
          <w:rFonts w:ascii="宋体" w:hAnsi="宋体" w:cs="宋体"/>
          <w:bCs/>
          <w:szCs w:val="21"/>
        </w:rPr>
      </w:pPr>
      <w:r>
        <w:rPr>
          <w:rFonts w:hint="eastAsia" w:ascii="宋体" w:hAnsi="宋体" w:cs="宋体"/>
          <w:bCs/>
          <w:szCs w:val="21"/>
        </w:rPr>
        <w:t>（1）本产品投资单只证券或者单只证券投资基金的市值不得超过产品净资产的10%。</w:t>
      </w:r>
    </w:p>
    <w:p>
      <w:pPr>
        <w:spacing w:line="360" w:lineRule="auto"/>
        <w:ind w:firstLine="420" w:firstLineChars="200"/>
        <w:rPr>
          <w:rFonts w:ascii="宋体" w:hAnsi="宋体" w:cs="宋体"/>
          <w:bCs/>
          <w:szCs w:val="21"/>
        </w:rPr>
      </w:pPr>
      <w:r>
        <w:rPr>
          <w:rFonts w:hint="eastAsia" w:ascii="宋体" w:hAnsi="宋体" w:cs="宋体"/>
          <w:bCs/>
          <w:szCs w:val="21"/>
        </w:rPr>
        <w:t>（2）管理人发行的全部公募资产管理产品投资单只证券或者单只证券投资基金的市值不得超过该证券市值或者该证券投资基金市值的30%。其中，管理人全部开放式公募资产管理产品投资单一上市公司发行的股票不得超过该上市公司可流通股票的15%。</w:t>
      </w:r>
    </w:p>
    <w:p>
      <w:pPr>
        <w:spacing w:line="360" w:lineRule="auto"/>
        <w:ind w:firstLine="420" w:firstLineChars="200"/>
        <w:rPr>
          <w:rFonts w:ascii="宋体" w:hAnsi="宋体" w:cs="宋体"/>
          <w:bCs/>
          <w:szCs w:val="21"/>
        </w:rPr>
      </w:pPr>
      <w:r>
        <w:rPr>
          <w:rFonts w:hint="eastAsia" w:ascii="宋体" w:hAnsi="宋体" w:cs="宋体"/>
          <w:bCs/>
          <w:szCs w:val="21"/>
        </w:rPr>
        <w:t>（3）管理人全部资产管理产品投资单一上市公司发行的股票不得超过该上市公司可流通股票的30%。</w:t>
      </w:r>
    </w:p>
    <w:p>
      <w:pPr>
        <w:spacing w:line="360" w:lineRule="auto"/>
        <w:ind w:firstLine="420" w:firstLineChars="200"/>
        <w:rPr>
          <w:rFonts w:ascii="宋体" w:hAnsi="宋体" w:cs="宋体"/>
          <w:bCs/>
          <w:szCs w:val="21"/>
        </w:rPr>
      </w:pPr>
      <w:r>
        <w:rPr>
          <w:rFonts w:hint="eastAsia" w:ascii="宋体" w:hAnsi="宋体" w:cs="宋体"/>
          <w:bCs/>
          <w:szCs w:val="21"/>
        </w:rPr>
        <w:t>金融监督管理部门另有规定的除外。</w:t>
      </w:r>
    </w:p>
    <w:p>
      <w:pPr>
        <w:spacing w:line="360" w:lineRule="auto"/>
        <w:ind w:firstLine="420" w:firstLineChars="200"/>
        <w:rPr>
          <w:rFonts w:ascii="宋体" w:hAnsi="宋体" w:cs="宋体"/>
          <w:bCs/>
          <w:szCs w:val="21"/>
        </w:rPr>
      </w:pPr>
      <w:r>
        <w:rPr>
          <w:rFonts w:hint="eastAsia" w:ascii="宋体" w:hAnsi="宋体" w:cs="宋体"/>
          <w:bCs/>
          <w:szCs w:val="21"/>
        </w:rPr>
        <w:t>对于非因管理人主观因素导致突破上述比例限制的，管理人应当在流动性受限资产可出售、可转让或者恢复交易的10个交易日内调整至符合要求。</w:t>
      </w:r>
    </w:p>
    <w:p>
      <w:pPr>
        <w:spacing w:line="360" w:lineRule="auto"/>
        <w:ind w:firstLine="420" w:firstLineChars="200"/>
        <w:outlineLvl w:val="2"/>
        <w:rPr>
          <w:rFonts w:ascii="宋体" w:hAnsi="宋体" w:cs="宋体"/>
          <w:bCs/>
          <w:szCs w:val="21"/>
        </w:rPr>
      </w:pPr>
      <w:r>
        <w:rPr>
          <w:rFonts w:hint="eastAsia" w:ascii="宋体" w:hAnsi="宋体" w:cs="宋体"/>
          <w:bCs/>
          <w:szCs w:val="21"/>
        </w:rPr>
        <w:t>2.评级限制</w:t>
      </w:r>
    </w:p>
    <w:p>
      <w:pPr>
        <w:spacing w:line="360" w:lineRule="auto"/>
        <w:ind w:firstLine="420" w:firstLineChars="200"/>
        <w:rPr>
          <w:rFonts w:ascii="宋体" w:hAnsi="宋体" w:cs="宋体"/>
          <w:bCs/>
          <w:szCs w:val="21"/>
        </w:rPr>
      </w:pPr>
      <w:r>
        <w:rPr>
          <w:rFonts w:hint="eastAsia" w:ascii="宋体" w:hAnsi="宋体" w:cs="宋体"/>
          <w:bCs/>
          <w:szCs w:val="21"/>
        </w:rPr>
        <w:t>（1）本产品投资的各类债券主体（发行人或增信人）或债项评级达到AA 级（含）以上（投资存续期间评级调整的除外）。若无主体和债项评级的，则按照产品管理人内部投资决策进行投资。</w:t>
      </w:r>
    </w:p>
    <w:p>
      <w:pPr>
        <w:spacing w:line="360" w:lineRule="auto"/>
        <w:ind w:firstLine="420" w:firstLineChars="200"/>
        <w:rPr>
          <w:rFonts w:ascii="宋体" w:hAnsi="宋体" w:cs="宋体"/>
          <w:bCs/>
          <w:szCs w:val="21"/>
        </w:rPr>
      </w:pPr>
      <w:r>
        <w:rPr>
          <w:rFonts w:hint="eastAsia" w:ascii="宋体" w:hAnsi="宋体" w:cs="宋体"/>
          <w:bCs/>
          <w:szCs w:val="21"/>
        </w:rPr>
        <w:t>（2）投资资产支持证券的债项评级须在AA（含）以上，不投资资产支持证券的次级档债券。</w:t>
      </w:r>
    </w:p>
    <w:p>
      <w:pPr>
        <w:spacing w:line="360" w:lineRule="auto"/>
        <w:ind w:firstLine="420" w:firstLineChars="200"/>
        <w:rPr>
          <w:rFonts w:ascii="宋体" w:hAnsi="宋体" w:cs="宋体"/>
          <w:bCs/>
          <w:szCs w:val="21"/>
        </w:rPr>
      </w:pPr>
      <w:r>
        <w:rPr>
          <w:rFonts w:hint="eastAsia" w:ascii="宋体" w:hAnsi="宋体" w:cs="宋体"/>
          <w:bCs/>
          <w:szCs w:val="21"/>
        </w:rPr>
        <w:t>（3）本产品与交易对手开展买入返售交易的，可接受押品的资质要求应当满足本理财产品说明书约定的评级要求。</w:t>
      </w:r>
    </w:p>
    <w:p>
      <w:pPr>
        <w:spacing w:line="360" w:lineRule="auto"/>
        <w:ind w:firstLine="420" w:firstLineChars="200"/>
        <w:outlineLvl w:val="2"/>
        <w:rPr>
          <w:rFonts w:ascii="宋体" w:hAnsi="宋体" w:cs="宋体"/>
          <w:bCs/>
          <w:szCs w:val="21"/>
        </w:rPr>
      </w:pPr>
      <w:r>
        <w:rPr>
          <w:rFonts w:hint="eastAsia" w:ascii="宋体" w:hAnsi="宋体" w:cs="宋体"/>
          <w:bCs/>
          <w:szCs w:val="21"/>
        </w:rPr>
        <w:t>3.本产品的总资产不得超过产品净资产的140%。</w:t>
      </w:r>
    </w:p>
    <w:p>
      <w:pPr>
        <w:tabs>
          <w:tab w:val="left" w:pos="420"/>
          <w:tab w:val="left" w:pos="720"/>
        </w:tabs>
        <w:spacing w:line="360" w:lineRule="auto"/>
        <w:ind w:firstLine="422" w:firstLineChars="200"/>
        <w:outlineLvl w:val="1"/>
        <w:rPr>
          <w:rFonts w:ascii="宋体" w:hAnsi="宋体" w:cs="宋体"/>
          <w:b/>
          <w:szCs w:val="21"/>
        </w:rPr>
      </w:pPr>
      <w:r>
        <w:rPr>
          <w:rFonts w:hint="eastAsia" w:ascii="宋体" w:hAnsi="宋体" w:cs="宋体"/>
          <w:b/>
          <w:szCs w:val="21"/>
        </w:rPr>
        <w:t>（六）投资范围调整</w:t>
      </w:r>
    </w:p>
    <w:p>
      <w:pPr>
        <w:spacing w:line="360" w:lineRule="auto"/>
        <w:ind w:firstLine="420" w:firstLineChars="200"/>
        <w:rPr>
          <w:rFonts w:ascii="宋体" w:hAnsi="宋体" w:cs="宋体"/>
          <w:bCs/>
          <w:szCs w:val="21"/>
        </w:rPr>
      </w:pPr>
      <w:r>
        <w:rPr>
          <w:rFonts w:hint="eastAsia" w:ascii="宋体" w:hAnsi="宋体" w:cs="宋体"/>
          <w:bCs/>
          <w:szCs w:val="21"/>
        </w:rPr>
        <w:t>若法律法规、国家监管政策或市场情况发生变化，光大理财在不改变产品类型的情况下，可对本说明书中已约定的投资范围、投资品种、投资比例进行调整。该调整事项将于生效前</w:t>
      </w:r>
      <w:r>
        <w:rPr>
          <w:rFonts w:ascii="宋体" w:hAnsi="宋体" w:cs="宋体"/>
          <w:bCs/>
          <w:szCs w:val="21"/>
        </w:rPr>
        <w:t>2个工作日通过产品管理人官方网站或</w:t>
      </w:r>
      <w:r>
        <w:rPr>
          <w:rFonts w:hint="eastAsia" w:ascii="宋体" w:hAnsi="宋体" w:cs="宋体"/>
          <w:bCs/>
          <w:szCs w:val="21"/>
        </w:rPr>
        <w:t>销售服务机构网上销售平台进行书面公告以征求投资者意见。若本理财产品的投资者不接受上述调整，则应及时通过销售服务机构营业网点或网上销售平台赎回本产品（高风险类型的理财产品超出比例范围投资较低风险资产的情况除外）；若本理财产品投资者未赎回本产品，则视为本理财产品投资者对相关调整无异议并同意继续持有本理财产品。</w:t>
      </w:r>
    </w:p>
    <w:p>
      <w:pPr>
        <w:tabs>
          <w:tab w:val="left" w:pos="420"/>
          <w:tab w:val="left" w:pos="720"/>
        </w:tabs>
        <w:spacing w:line="360" w:lineRule="auto"/>
        <w:ind w:firstLine="422" w:firstLineChars="200"/>
        <w:outlineLvl w:val="1"/>
        <w:rPr>
          <w:rFonts w:ascii="宋体" w:hAnsi="宋体" w:cs="宋体"/>
          <w:b/>
          <w:szCs w:val="21"/>
        </w:rPr>
      </w:pPr>
      <w:r>
        <w:rPr>
          <w:rFonts w:hint="eastAsia" w:ascii="宋体" w:hAnsi="宋体" w:cs="宋体"/>
          <w:b/>
          <w:szCs w:val="21"/>
        </w:rPr>
        <w:t>（七）投资合作机构</w:t>
      </w:r>
    </w:p>
    <w:p>
      <w:pPr>
        <w:spacing w:line="360" w:lineRule="auto"/>
        <w:ind w:firstLine="420" w:firstLineChars="200"/>
        <w:rPr>
          <w:rFonts w:ascii="宋体" w:hAnsi="宋体" w:cs="宋体"/>
          <w:bCs/>
          <w:szCs w:val="21"/>
        </w:rPr>
      </w:pPr>
      <w:r>
        <w:rPr>
          <w:rFonts w:hint="eastAsia" w:ascii="宋体" w:hAnsi="宋体" w:cs="宋体"/>
          <w:bCs/>
          <w:szCs w:val="21"/>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p>
    <w:p>
      <w:pPr>
        <w:tabs>
          <w:tab w:val="left" w:pos="420"/>
          <w:tab w:val="left" w:pos="720"/>
        </w:tabs>
        <w:spacing w:line="360" w:lineRule="auto"/>
        <w:ind w:firstLine="602" w:firstLineChars="250"/>
        <w:jc w:val="left"/>
        <w:rPr>
          <w:rFonts w:ascii="宋体" w:hAnsi="宋体" w:cs="宋体"/>
          <w:b/>
          <w:bCs/>
          <w:sz w:val="24"/>
          <w:szCs w:val="24"/>
        </w:rPr>
      </w:pPr>
    </w:p>
    <w:p>
      <w:pPr>
        <w:spacing w:line="360" w:lineRule="auto"/>
        <w:jc w:val="center"/>
        <w:outlineLvl w:val="0"/>
        <w:rPr>
          <w:rFonts w:ascii="宋体" w:hAnsi="宋体" w:cs="宋体"/>
          <w:b/>
          <w:bCs/>
          <w:sz w:val="28"/>
          <w:szCs w:val="28"/>
        </w:rPr>
      </w:pPr>
      <w:r>
        <w:rPr>
          <w:rFonts w:hint="eastAsia" w:ascii="宋体" w:hAnsi="宋体" w:cs="宋体"/>
          <w:b/>
          <w:bCs/>
          <w:sz w:val="28"/>
          <w:szCs w:val="28"/>
        </w:rPr>
        <w:t>五、产品估值</w:t>
      </w:r>
    </w:p>
    <w:p>
      <w:pPr>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（一）估值对象</w:t>
      </w:r>
    </w:p>
    <w:p>
      <w:pPr>
        <w:spacing w:line="360" w:lineRule="auto"/>
        <w:ind w:firstLine="420" w:firstLineChars="200"/>
        <w:rPr>
          <w:rFonts w:ascii="宋体" w:hAnsi="宋体" w:cs="宋体"/>
          <w:bCs/>
          <w:szCs w:val="21"/>
        </w:rPr>
      </w:pPr>
      <w:r>
        <w:rPr>
          <w:rFonts w:hint="eastAsia" w:ascii="宋体" w:hAnsi="宋体" w:cs="宋体"/>
          <w:bCs/>
          <w:szCs w:val="21"/>
        </w:rPr>
        <w:t>本产品持有的各类证券、银行存款本息、应收款项及其他投资等资产和负债。</w:t>
      </w:r>
    </w:p>
    <w:p>
      <w:pPr>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（二）估值要求</w:t>
      </w:r>
    </w:p>
    <w:p>
      <w:pPr>
        <w:spacing w:line="360" w:lineRule="auto"/>
        <w:ind w:firstLine="422" w:firstLineChars="200"/>
        <w:rPr>
          <w:rFonts w:ascii="宋体" w:hAnsi="宋体" w:cs="宋体"/>
          <w:b/>
          <w:szCs w:val="21"/>
        </w:rPr>
      </w:pPr>
      <w:r>
        <w:rPr>
          <w:rFonts w:ascii="宋体" w:hAnsi="宋体" w:cs="宋体"/>
          <w:b/>
          <w:szCs w:val="21"/>
        </w:rPr>
        <w:t>1.本产品资产估值的目的是客观、准确的反映资产净值，确定理财产品资产净值，并为理财产品的申购、赎回和兑付提供计价依据。</w:t>
      </w:r>
    </w:p>
    <w:p>
      <w:pPr>
        <w:spacing w:line="360" w:lineRule="auto"/>
        <w:ind w:firstLine="420" w:firstLineChars="200"/>
        <w:jc w:val="left"/>
        <w:rPr>
          <w:rFonts w:ascii="宋体" w:hAnsi="宋体" w:cs="宋体"/>
          <w:bCs/>
          <w:szCs w:val="21"/>
        </w:rPr>
      </w:pPr>
      <w:r>
        <w:rPr>
          <w:rFonts w:ascii="宋体" w:hAnsi="宋体" w:cs="宋体"/>
          <w:bCs/>
          <w:szCs w:val="21"/>
        </w:rPr>
        <w:t>2.本产品各类份额将分别计算份额净值。</w:t>
      </w:r>
    </w:p>
    <w:p>
      <w:pPr>
        <w:spacing w:line="360" w:lineRule="auto"/>
        <w:ind w:firstLine="420" w:firstLineChars="200"/>
        <w:rPr>
          <w:rFonts w:ascii="宋体" w:hAnsi="宋体" w:cs="宋体"/>
          <w:bCs/>
          <w:szCs w:val="21"/>
        </w:rPr>
      </w:pPr>
      <w:r>
        <w:rPr>
          <w:rFonts w:ascii="宋体" w:hAnsi="宋体" w:cs="宋体"/>
          <w:bCs/>
          <w:szCs w:val="21"/>
        </w:rPr>
        <w:t>3.本</w:t>
      </w:r>
      <w:r>
        <w:rPr>
          <w:rFonts w:hint="eastAsia" w:ascii="宋体" w:hAnsi="宋体" w:cs="宋体"/>
          <w:bCs/>
          <w:szCs w:val="21"/>
        </w:rPr>
        <w:t>产品</w:t>
      </w:r>
      <w:r>
        <w:rPr>
          <w:rFonts w:ascii="宋体" w:hAnsi="宋体" w:cs="宋体"/>
          <w:bCs/>
          <w:szCs w:val="21"/>
        </w:rPr>
        <w:t>各类</w:t>
      </w:r>
      <w:r>
        <w:rPr>
          <w:rFonts w:hint="eastAsia" w:ascii="宋体" w:hAnsi="宋体" w:cs="宋体"/>
          <w:bCs/>
          <w:szCs w:val="21"/>
        </w:rPr>
        <w:t>份额净值是按照交易日闭市后，</w:t>
      </w:r>
      <w:r>
        <w:rPr>
          <w:rFonts w:ascii="宋体" w:hAnsi="宋体" w:cs="宋体"/>
          <w:bCs/>
          <w:szCs w:val="21"/>
        </w:rPr>
        <w:t>各类</w:t>
      </w:r>
      <w:r>
        <w:rPr>
          <w:rFonts w:hint="eastAsia" w:ascii="宋体" w:hAnsi="宋体" w:cs="宋体"/>
          <w:bCs/>
          <w:szCs w:val="21"/>
        </w:rPr>
        <w:t>产品</w:t>
      </w:r>
      <w:r>
        <w:rPr>
          <w:rFonts w:ascii="宋体" w:hAnsi="宋体" w:cs="宋体"/>
          <w:bCs/>
          <w:szCs w:val="21"/>
        </w:rPr>
        <w:t>份额</w:t>
      </w:r>
      <w:r>
        <w:rPr>
          <w:rFonts w:hint="eastAsia" w:ascii="宋体" w:hAnsi="宋体" w:cs="宋体"/>
          <w:bCs/>
          <w:szCs w:val="21"/>
        </w:rPr>
        <w:t>资产净值除以当日</w:t>
      </w:r>
      <w:r>
        <w:rPr>
          <w:rFonts w:ascii="宋体" w:hAnsi="宋体" w:cs="宋体"/>
          <w:bCs/>
          <w:szCs w:val="21"/>
        </w:rPr>
        <w:t>该类</w:t>
      </w:r>
      <w:r>
        <w:rPr>
          <w:rFonts w:hint="eastAsia" w:ascii="宋体" w:hAnsi="宋体" w:cs="宋体"/>
          <w:bCs/>
          <w:szCs w:val="21"/>
        </w:rPr>
        <w:t>产品份额的余额数量计算，精确到</w:t>
      </w:r>
      <w:r>
        <w:rPr>
          <w:rFonts w:ascii="宋体" w:hAnsi="宋体" w:cs="宋体"/>
          <w:bCs/>
          <w:szCs w:val="21"/>
        </w:rPr>
        <w:t>0.0001元，小数点后第</w:t>
      </w:r>
      <w:r>
        <w:rPr>
          <w:rFonts w:hint="eastAsia" w:ascii="宋体" w:hAnsi="宋体" w:cs="宋体"/>
          <w:bCs/>
          <w:szCs w:val="21"/>
        </w:rPr>
        <w:t>五</w:t>
      </w:r>
      <w:r>
        <w:rPr>
          <w:rFonts w:ascii="宋体" w:hAnsi="宋体" w:cs="宋体"/>
          <w:bCs/>
          <w:szCs w:val="21"/>
        </w:rPr>
        <w:t>位四舍五入。国家另有规定的，从其规定。</w:t>
      </w:r>
    </w:p>
    <w:p>
      <w:pPr>
        <w:spacing w:line="360" w:lineRule="auto"/>
        <w:ind w:firstLine="420" w:firstLineChars="200"/>
        <w:rPr>
          <w:bCs/>
          <w:szCs w:val="21"/>
        </w:rPr>
      </w:pPr>
      <w:r>
        <w:rPr>
          <w:rFonts w:ascii="宋体" w:hAnsi="宋体" w:cs="宋体"/>
          <w:bCs/>
          <w:szCs w:val="21"/>
        </w:rPr>
        <w:t>4.本产品每个交易所工作日为估值日。</w:t>
      </w:r>
    </w:p>
    <w:p>
      <w:pPr>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（三）估值方法</w:t>
      </w:r>
    </w:p>
    <w:p>
      <w:pPr>
        <w:spacing w:line="360" w:lineRule="auto"/>
        <w:ind w:firstLine="420" w:firstLineChars="200"/>
        <w:rPr>
          <w:rFonts w:ascii="宋体" w:hAnsi="宋体" w:cs="宋体"/>
          <w:bCs/>
          <w:szCs w:val="21"/>
        </w:rPr>
      </w:pPr>
      <w:r>
        <w:rPr>
          <w:rFonts w:hint="eastAsia" w:ascii="宋体" w:hAnsi="宋体" w:cs="宋体"/>
          <w:bCs/>
          <w:szCs w:val="21"/>
        </w:rPr>
        <w:t>1．债券、货币市场工具等标准化固定收益类资产</w:t>
      </w:r>
    </w:p>
    <w:p>
      <w:pPr>
        <w:spacing w:line="360" w:lineRule="auto"/>
        <w:ind w:firstLine="420" w:firstLineChars="200"/>
        <w:rPr>
          <w:rFonts w:ascii="宋体" w:hAnsi="宋体" w:cs="宋体"/>
          <w:bCs/>
          <w:szCs w:val="21"/>
        </w:rPr>
      </w:pPr>
      <w:r>
        <w:rPr>
          <w:rFonts w:hint="eastAsia" w:ascii="宋体" w:hAnsi="宋体" w:cs="宋体"/>
          <w:bCs/>
          <w:szCs w:val="21"/>
        </w:rPr>
        <w:t>（1）交易所市场交易的固定收益品种的估值</w:t>
      </w:r>
    </w:p>
    <w:p>
      <w:pPr>
        <w:spacing w:line="360" w:lineRule="auto"/>
        <w:ind w:firstLine="420" w:firstLineChars="200"/>
        <w:rPr>
          <w:rFonts w:ascii="宋体" w:hAnsi="宋体" w:cs="宋体"/>
          <w:bCs/>
          <w:szCs w:val="21"/>
        </w:rPr>
      </w:pPr>
      <w:r>
        <w:rPr>
          <w:rFonts w:hint="eastAsia" w:ascii="宋体" w:hAnsi="宋体" w:cs="宋体"/>
          <w:bCs/>
          <w:szCs w:val="21"/>
        </w:rPr>
        <w:t>① 对在交易所市场上市交易或挂牌转让的固定收益品种（另有规定的除外），选取第三方估值机构提供的相应品种当日的估值净价进行估值。</w:t>
      </w:r>
    </w:p>
    <w:p>
      <w:pPr>
        <w:spacing w:line="360" w:lineRule="auto"/>
        <w:ind w:firstLine="420" w:firstLineChars="200"/>
        <w:rPr>
          <w:rFonts w:ascii="宋体" w:hAnsi="宋体" w:cs="宋体"/>
          <w:bCs/>
          <w:szCs w:val="21"/>
        </w:rPr>
      </w:pPr>
      <w:r>
        <w:rPr>
          <w:rFonts w:hint="eastAsia" w:ascii="宋体" w:hAnsi="宋体" w:cs="宋体"/>
          <w:bCs/>
          <w:szCs w:val="21"/>
        </w:rPr>
        <w:t>② 对在交易所市场挂牌转让的可转债和可交债，实行全价交易的，按照估值日收盘价减去收盘价中所含债券应收利息后得到的净价进行估值；实行净价交易的，采用估值日收盘价估值。</w:t>
      </w:r>
    </w:p>
    <w:p>
      <w:pPr>
        <w:spacing w:line="360" w:lineRule="auto"/>
        <w:ind w:firstLine="420" w:firstLineChars="200"/>
        <w:rPr>
          <w:rFonts w:ascii="宋体" w:hAnsi="宋体" w:cs="宋体"/>
          <w:bCs/>
          <w:szCs w:val="21"/>
        </w:rPr>
      </w:pPr>
      <w:r>
        <w:rPr>
          <w:rFonts w:hint="eastAsia" w:ascii="宋体" w:hAnsi="宋体" w:cs="宋体"/>
          <w:bCs/>
          <w:szCs w:val="21"/>
        </w:rPr>
        <w:t>③ 对在交易所市场发行未上市或未挂牌转让的债券，对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采用估值技术确定其公允价值。</w:t>
      </w:r>
    </w:p>
    <w:p>
      <w:pPr>
        <w:spacing w:line="360" w:lineRule="auto"/>
        <w:ind w:firstLine="420" w:firstLineChars="200"/>
        <w:rPr>
          <w:rFonts w:ascii="宋体" w:hAnsi="宋体" w:cs="宋体"/>
          <w:bCs/>
          <w:szCs w:val="21"/>
        </w:rPr>
      </w:pPr>
      <w:r>
        <w:rPr>
          <w:rFonts w:hint="eastAsia" w:ascii="宋体" w:hAnsi="宋体" w:cs="宋体"/>
          <w:bCs/>
          <w:szCs w:val="21"/>
        </w:rPr>
        <w:t>（2）银行间市场交易的固定收益品种的估值</w:t>
      </w:r>
    </w:p>
    <w:p>
      <w:pPr>
        <w:spacing w:line="360" w:lineRule="auto"/>
        <w:ind w:firstLine="420" w:firstLineChars="200"/>
        <w:rPr>
          <w:rFonts w:ascii="宋体" w:hAnsi="宋体" w:cs="宋体"/>
          <w:bCs/>
          <w:szCs w:val="21"/>
        </w:rPr>
      </w:pPr>
      <w:r>
        <w:rPr>
          <w:rFonts w:hint="eastAsia" w:ascii="宋体" w:hAnsi="宋体" w:cs="宋体"/>
          <w:bCs/>
          <w:szCs w:val="21"/>
        </w:rPr>
        <w:t>对银行间市场上的固定收益品种，选取第三方估值机构提供的相应品种当日的估值净价进行估值；</w:t>
      </w:r>
    </w:p>
    <w:p>
      <w:pPr>
        <w:spacing w:line="360" w:lineRule="auto"/>
        <w:ind w:firstLine="420" w:firstLineChars="200"/>
        <w:rPr>
          <w:rFonts w:ascii="宋体" w:hAnsi="宋体" w:cs="宋体"/>
          <w:bCs/>
          <w:szCs w:val="21"/>
        </w:rPr>
      </w:pPr>
      <w:r>
        <w:rPr>
          <w:rFonts w:hint="eastAsia" w:ascii="宋体" w:hAnsi="宋体" w:cs="宋体"/>
          <w:bCs/>
          <w:szCs w:val="21"/>
        </w:rPr>
        <w:t>（3）同一证券同时在两个或两个以上市场交易的，按证券所处的市场分别估值。</w:t>
      </w:r>
    </w:p>
    <w:p>
      <w:pPr>
        <w:spacing w:line="360" w:lineRule="auto"/>
        <w:ind w:firstLine="420" w:firstLineChars="200"/>
        <w:rPr>
          <w:rFonts w:ascii="宋体" w:hAnsi="宋体" w:cs="宋体"/>
          <w:bCs/>
          <w:szCs w:val="21"/>
        </w:rPr>
      </w:pPr>
      <w:r>
        <w:rPr>
          <w:rFonts w:hint="eastAsia" w:ascii="宋体" w:hAnsi="宋体" w:cs="宋体"/>
          <w:bCs/>
          <w:szCs w:val="21"/>
        </w:rPr>
        <w:t>（4）如监管</w:t>
      </w:r>
      <w:r>
        <w:rPr>
          <w:rFonts w:hint="eastAsia" w:ascii="宋体" w:hAnsi="宋体" w:cs="宋体"/>
          <w:bCs/>
          <w:szCs w:val="21"/>
          <w:lang w:val="en-US" w:eastAsia="zh-CN"/>
        </w:rPr>
        <w:t>机构</w:t>
      </w:r>
      <w:r>
        <w:rPr>
          <w:rFonts w:hint="eastAsia" w:ascii="宋体" w:hAnsi="宋体" w:cs="宋体"/>
          <w:bCs/>
          <w:szCs w:val="21"/>
        </w:rPr>
        <w:t>另有规定的，按照监管</w:t>
      </w:r>
      <w:r>
        <w:rPr>
          <w:rFonts w:hint="eastAsia" w:ascii="宋体" w:hAnsi="宋体" w:cs="宋体"/>
          <w:bCs/>
          <w:szCs w:val="21"/>
          <w:lang w:val="en-US" w:eastAsia="zh-CN"/>
        </w:rPr>
        <w:t>机构</w:t>
      </w:r>
      <w:r>
        <w:rPr>
          <w:rFonts w:hint="eastAsia" w:ascii="宋体" w:hAnsi="宋体" w:cs="宋体"/>
          <w:bCs/>
          <w:szCs w:val="21"/>
        </w:rPr>
        <w:t>的最新规定进行调整。</w:t>
      </w:r>
    </w:p>
    <w:p>
      <w:pPr>
        <w:spacing w:line="360" w:lineRule="auto"/>
        <w:ind w:firstLine="420" w:firstLineChars="200"/>
        <w:rPr>
          <w:rFonts w:ascii="宋体" w:hAnsi="宋体" w:cs="宋体"/>
          <w:bCs/>
          <w:szCs w:val="21"/>
        </w:rPr>
      </w:pPr>
      <w:r>
        <w:rPr>
          <w:rFonts w:hint="eastAsia" w:ascii="宋体" w:hAnsi="宋体" w:cs="宋体"/>
          <w:bCs/>
          <w:szCs w:val="21"/>
        </w:rPr>
        <w:t>2.权益类资产</w:t>
      </w:r>
    </w:p>
    <w:p>
      <w:pPr>
        <w:spacing w:line="360" w:lineRule="auto"/>
        <w:ind w:firstLine="420" w:firstLineChars="200"/>
        <w:rPr>
          <w:rFonts w:ascii="宋体" w:hAnsi="宋体" w:cs="宋体"/>
          <w:bCs/>
          <w:szCs w:val="21"/>
        </w:rPr>
      </w:pPr>
      <w:r>
        <w:rPr>
          <w:rFonts w:hint="eastAsia" w:ascii="宋体" w:hAnsi="宋体" w:cs="宋体"/>
          <w:bCs/>
          <w:szCs w:val="21"/>
        </w:rPr>
        <w:t>优先股</w:t>
      </w:r>
    </w:p>
    <w:p>
      <w:pPr>
        <w:spacing w:line="360" w:lineRule="auto"/>
        <w:ind w:firstLine="420" w:firstLineChars="200"/>
        <w:rPr>
          <w:rFonts w:ascii="宋体" w:hAnsi="宋体" w:cs="宋体"/>
          <w:bCs/>
          <w:szCs w:val="21"/>
        </w:rPr>
      </w:pPr>
      <w:r>
        <w:rPr>
          <w:rFonts w:hint="eastAsia" w:ascii="宋体" w:hAnsi="宋体" w:cs="宋体"/>
          <w:bCs/>
          <w:szCs w:val="21"/>
        </w:rPr>
        <w:t>证券交易所及全国中小企业股份转让系统等市场交易的优先股，依据第三方估值机构提供的价格数据估值，若有确凿证据表明按上述规定不能客观反映理财产品财产公允价值的，可与托管人协商一致后采用估值技术进行估值。</w:t>
      </w:r>
    </w:p>
    <w:p>
      <w:pPr>
        <w:spacing w:line="360" w:lineRule="auto"/>
        <w:ind w:firstLine="420" w:firstLineChars="200"/>
        <w:rPr>
          <w:rFonts w:ascii="宋体" w:hAnsi="宋体" w:cs="宋体"/>
          <w:bCs/>
          <w:szCs w:val="21"/>
        </w:rPr>
      </w:pPr>
      <w:r>
        <w:rPr>
          <w:rFonts w:hint="eastAsia" w:ascii="宋体" w:hAnsi="宋体" w:cs="宋体"/>
          <w:bCs/>
          <w:szCs w:val="21"/>
        </w:rPr>
        <w:t>3. 证券投资基金</w:t>
      </w:r>
    </w:p>
    <w:p>
      <w:pPr>
        <w:spacing w:line="360" w:lineRule="auto"/>
        <w:ind w:firstLine="420" w:firstLineChars="200"/>
        <w:rPr>
          <w:rFonts w:ascii="宋体" w:hAnsi="宋体" w:cs="宋体"/>
          <w:bCs/>
          <w:szCs w:val="21"/>
        </w:rPr>
      </w:pPr>
      <w:r>
        <w:rPr>
          <w:rFonts w:hint="eastAsia" w:ascii="宋体" w:hAnsi="宋体" w:cs="宋体"/>
          <w:bCs/>
          <w:szCs w:val="21"/>
        </w:rPr>
        <w:t>（1）非上市基金估值</w:t>
      </w:r>
    </w:p>
    <w:p>
      <w:pPr>
        <w:spacing w:line="360" w:lineRule="auto"/>
        <w:ind w:firstLine="420" w:firstLineChars="200"/>
        <w:rPr>
          <w:rFonts w:ascii="宋体" w:hAnsi="宋体" w:cs="宋体"/>
          <w:bCs/>
          <w:szCs w:val="21"/>
        </w:rPr>
      </w:pPr>
      <w:r>
        <w:rPr>
          <w:rFonts w:hint="eastAsia" w:ascii="宋体" w:hAnsi="宋体" w:cs="宋体"/>
          <w:bCs/>
          <w:szCs w:val="21"/>
        </w:rPr>
        <w:t>境内非货币市场基金，按所投资基金估值日的份额净值估值；境内货币市场基金，按所投资基金前一估值日后至估值日期间（含节假日）的万份收益计提估值日基金收益。</w:t>
      </w:r>
    </w:p>
    <w:p>
      <w:pPr>
        <w:spacing w:line="360" w:lineRule="auto"/>
        <w:ind w:firstLine="420" w:firstLineChars="200"/>
        <w:rPr>
          <w:rFonts w:ascii="宋体" w:hAnsi="宋体" w:cs="宋体"/>
          <w:bCs/>
          <w:szCs w:val="21"/>
        </w:rPr>
      </w:pPr>
      <w:r>
        <w:rPr>
          <w:rFonts w:hint="eastAsia" w:ascii="宋体" w:hAnsi="宋体" w:cs="宋体"/>
          <w:bCs/>
          <w:szCs w:val="21"/>
        </w:rPr>
        <w:t>（2）上市基金估值</w:t>
      </w:r>
    </w:p>
    <w:p>
      <w:pPr>
        <w:spacing w:line="360" w:lineRule="auto"/>
        <w:ind w:firstLine="420" w:firstLineChars="200"/>
        <w:rPr>
          <w:rFonts w:ascii="宋体" w:hAnsi="宋体" w:cs="宋体"/>
          <w:bCs/>
          <w:szCs w:val="21"/>
        </w:rPr>
      </w:pPr>
      <w:r>
        <w:rPr>
          <w:rFonts w:hint="eastAsia" w:ascii="宋体" w:hAnsi="宋体" w:cs="宋体"/>
          <w:bCs/>
          <w:szCs w:val="21"/>
        </w:rPr>
        <w:t>交易所上市流通的基金，按估值日其所在证券交易所的收盘价估值,公募REITs，按估值日其所在证券交易所的收盘价估值或者按照第三方机构提供的估值数据进行估值。</w:t>
      </w:r>
    </w:p>
    <w:p>
      <w:pPr>
        <w:spacing w:line="360" w:lineRule="auto"/>
        <w:ind w:firstLine="420" w:firstLineChars="200"/>
        <w:rPr>
          <w:rFonts w:ascii="宋体" w:hAnsi="宋体" w:cs="宋体"/>
          <w:bCs/>
          <w:szCs w:val="21"/>
        </w:rPr>
      </w:pPr>
      <w:r>
        <w:rPr>
          <w:rFonts w:hint="eastAsia" w:ascii="宋体" w:hAnsi="宋体" w:cs="宋体"/>
          <w:bCs/>
          <w:szCs w:val="21"/>
        </w:rPr>
        <w:t>（3）如遇所投资基金不公布基金份额净值、进行折算或拆分、估值日无交易等特殊情况，按照以下原则进行估值：</w:t>
      </w:r>
    </w:p>
    <w:p>
      <w:pPr>
        <w:spacing w:line="360" w:lineRule="auto"/>
        <w:ind w:firstLine="420" w:firstLineChars="200"/>
        <w:rPr>
          <w:rFonts w:ascii="宋体" w:hAnsi="宋体" w:cs="宋体"/>
          <w:bCs/>
          <w:szCs w:val="21"/>
        </w:rPr>
      </w:pPr>
      <w:r>
        <w:rPr>
          <w:rFonts w:hint="eastAsia" w:ascii="宋体" w:hAnsi="宋体" w:cs="宋体"/>
          <w:bCs/>
          <w:szCs w:val="21"/>
        </w:rPr>
        <w:t>①以所投基金的基金份额净值估值的，若所投资基金与基金中基金估值频率一致但未公布估值日基金份额净值，按其最近公布的基金份额净值为基础估值；</w:t>
      </w:r>
    </w:p>
    <w:p>
      <w:pPr>
        <w:spacing w:line="360" w:lineRule="auto"/>
        <w:ind w:firstLine="420" w:firstLineChars="200"/>
        <w:rPr>
          <w:rFonts w:ascii="宋体" w:hAnsi="宋体" w:cs="宋体"/>
          <w:bCs/>
          <w:szCs w:val="21"/>
        </w:rPr>
      </w:pPr>
      <w:r>
        <w:rPr>
          <w:rFonts w:hint="eastAsia" w:ascii="宋体" w:hAnsi="宋体" w:cs="宋体"/>
          <w:bCs/>
          <w:szCs w:val="21"/>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场及重大变化因素调整最近交易市场，确定公允价值；</w:t>
      </w:r>
    </w:p>
    <w:p>
      <w:pPr>
        <w:spacing w:line="360" w:lineRule="auto"/>
        <w:ind w:firstLine="420" w:firstLineChars="200"/>
        <w:rPr>
          <w:rFonts w:ascii="宋体" w:hAnsi="宋体" w:cs="宋体"/>
          <w:bCs/>
          <w:szCs w:val="21"/>
        </w:rPr>
      </w:pPr>
      <w:r>
        <w:rPr>
          <w:rFonts w:hint="eastAsia" w:ascii="宋体" w:hAnsi="宋体" w:cs="宋体"/>
          <w:bCs/>
          <w:szCs w:val="21"/>
        </w:rPr>
        <w:t>③如果所投资基金前一估值日至估值日期间发生分红除权、折算或拆分，基金管理人应根据基金份额净值或收盘价、单位基金份额分红金额、折算拆分比例、持仓份额等因素合理确定公允价值。</w:t>
      </w:r>
    </w:p>
    <w:p>
      <w:pPr>
        <w:spacing w:line="360" w:lineRule="auto"/>
        <w:ind w:firstLine="420" w:firstLineChars="200"/>
        <w:rPr>
          <w:rFonts w:ascii="宋体" w:hAnsi="宋体" w:cs="宋体"/>
          <w:bCs/>
          <w:szCs w:val="21"/>
        </w:rPr>
      </w:pPr>
      <w:r>
        <w:rPr>
          <w:rFonts w:hint="eastAsia" w:ascii="宋体" w:hAnsi="宋体" w:cs="宋体"/>
          <w:bCs/>
          <w:szCs w:val="21"/>
        </w:rPr>
        <w:t>4. 资管产品</w:t>
      </w:r>
    </w:p>
    <w:p>
      <w:pPr>
        <w:spacing w:line="360" w:lineRule="auto"/>
        <w:ind w:firstLine="420" w:firstLineChars="200"/>
        <w:rPr>
          <w:rFonts w:ascii="宋体" w:hAnsi="宋体" w:cs="宋体"/>
          <w:bCs/>
          <w:szCs w:val="21"/>
        </w:rPr>
      </w:pPr>
      <w:r>
        <w:rPr>
          <w:rFonts w:hint="eastAsia" w:ascii="宋体" w:hAnsi="宋体" w:cs="宋体"/>
          <w:bCs/>
          <w:szCs w:val="21"/>
        </w:rPr>
        <w:t>本产品投资资管产品，以能获取资管产品的净值或投资收益情况进行估值；如无法获取净值或投资收益情况，可采用估值技术确定公允价值。有确定的预期收益，则根据预期收益每天计提利息。</w:t>
      </w:r>
    </w:p>
    <w:p>
      <w:pPr>
        <w:spacing w:line="360" w:lineRule="auto"/>
        <w:ind w:firstLine="420" w:firstLineChars="200"/>
        <w:rPr>
          <w:rFonts w:ascii="宋体" w:hAnsi="宋体" w:cs="宋体"/>
          <w:bCs/>
          <w:szCs w:val="21"/>
        </w:rPr>
      </w:pPr>
      <w:r>
        <w:rPr>
          <w:rFonts w:hint="eastAsia" w:ascii="宋体" w:hAnsi="宋体" w:cs="宋体"/>
          <w:bCs/>
          <w:szCs w:val="21"/>
        </w:rPr>
        <w:t>5.结构性存款、结构性票据</w:t>
      </w:r>
    </w:p>
    <w:p>
      <w:pPr>
        <w:spacing w:line="360" w:lineRule="auto"/>
        <w:ind w:firstLine="420" w:firstLineChars="200"/>
        <w:rPr>
          <w:rFonts w:ascii="宋体" w:hAnsi="宋体" w:cs="宋体"/>
          <w:bCs/>
          <w:szCs w:val="21"/>
        </w:rPr>
      </w:pPr>
      <w:r>
        <w:rPr>
          <w:rFonts w:hint="eastAsia" w:ascii="宋体" w:hAnsi="宋体" w:cs="宋体"/>
          <w:bCs/>
          <w:szCs w:val="21"/>
        </w:rPr>
        <w:t>以能获取结构性存款、结构性票据的价格或投资收益情况进行估值；如无法获取价格或投资收益情况，可采用估值技术确定公允价值。有确定的预期收益，则根据预期收益每天计提利息。</w:t>
      </w:r>
    </w:p>
    <w:p>
      <w:pPr>
        <w:spacing w:line="360" w:lineRule="auto"/>
        <w:ind w:firstLine="420" w:firstLineChars="200"/>
        <w:rPr>
          <w:rFonts w:ascii="宋体" w:hAnsi="宋体" w:cs="宋体"/>
          <w:bCs/>
          <w:szCs w:val="21"/>
        </w:rPr>
      </w:pPr>
      <w:r>
        <w:rPr>
          <w:rFonts w:hint="eastAsia" w:ascii="宋体" w:hAnsi="宋体" w:cs="宋体"/>
          <w:bCs/>
          <w:szCs w:val="21"/>
        </w:rPr>
        <w:t>6.金融衍生品类资产</w:t>
      </w:r>
    </w:p>
    <w:p>
      <w:pPr>
        <w:spacing w:line="360" w:lineRule="auto"/>
        <w:ind w:firstLine="420" w:firstLineChars="200"/>
        <w:rPr>
          <w:rFonts w:ascii="宋体" w:hAnsi="宋体" w:cs="宋体"/>
          <w:bCs/>
          <w:szCs w:val="21"/>
        </w:rPr>
      </w:pPr>
      <w:r>
        <w:rPr>
          <w:rFonts w:hint="eastAsia" w:ascii="宋体" w:hAnsi="宋体" w:cs="宋体"/>
          <w:bCs/>
          <w:szCs w:val="21"/>
        </w:rPr>
        <w:t>期货、互换、期权等商品及金融衍生品，场内交易一般以估值当日结算价进行估值，估值当日无结算价的，且最近交易日后经济环境未发生重大变化的，采用最近交易日结算价估值；场外交易按照第三方机构提供的估值数据进行估值，如果第三方估值机构未提供估值价格的，采用估值技术确定其公允价值。</w:t>
      </w:r>
    </w:p>
    <w:p>
      <w:pPr>
        <w:spacing w:line="360" w:lineRule="auto"/>
        <w:ind w:firstLine="420" w:firstLineChars="200"/>
        <w:rPr>
          <w:rFonts w:ascii="宋体" w:hAnsi="宋体" w:cs="宋体"/>
          <w:bCs/>
          <w:szCs w:val="21"/>
        </w:rPr>
      </w:pPr>
      <w:r>
        <w:rPr>
          <w:rFonts w:hint="eastAsia" w:ascii="宋体" w:hAnsi="宋体" w:cs="宋体"/>
          <w:bCs/>
          <w:szCs w:val="21"/>
        </w:rPr>
        <w:t>7.银行存款、定期存款、回购、同业拆借等投资品种的利息收入按照权责发生制原则逐日计提；</w:t>
      </w:r>
    </w:p>
    <w:p>
      <w:pPr>
        <w:spacing w:line="360" w:lineRule="auto"/>
        <w:ind w:firstLine="420" w:firstLineChars="200"/>
        <w:rPr>
          <w:rFonts w:ascii="宋体" w:hAnsi="宋体" w:cs="宋体"/>
          <w:bCs/>
          <w:szCs w:val="21"/>
        </w:rPr>
      </w:pPr>
      <w:r>
        <w:rPr>
          <w:rFonts w:hint="eastAsia" w:ascii="宋体" w:hAnsi="宋体" w:cs="宋体"/>
          <w:bCs/>
          <w:szCs w:val="21"/>
        </w:rPr>
        <w:t>8.投资于其他资产存在并可以确定公允价值的，以公允价值计算；若公允价值不能确定可采用估值技术确定其公允价值；有确定的预期收益，则每天计提利息。</w:t>
      </w:r>
    </w:p>
    <w:p>
      <w:pPr>
        <w:spacing w:line="360" w:lineRule="auto"/>
        <w:ind w:firstLine="420" w:firstLineChars="200"/>
        <w:rPr>
          <w:rFonts w:ascii="宋体" w:hAnsi="宋体" w:cs="宋体"/>
          <w:bCs/>
          <w:szCs w:val="21"/>
        </w:rPr>
      </w:pPr>
      <w:r>
        <w:rPr>
          <w:rFonts w:hint="eastAsia" w:ascii="宋体" w:hAnsi="宋体" w:cs="宋体"/>
          <w:bCs/>
          <w:szCs w:val="21"/>
        </w:rPr>
        <w:t>9.相关法律法规以及</w:t>
      </w:r>
      <w:r>
        <w:rPr>
          <w:rFonts w:hint="eastAsia" w:ascii="宋体" w:hAnsi="宋体" w:cs="宋体"/>
          <w:bCs/>
          <w:szCs w:val="21"/>
          <w:lang w:eastAsia="zh-CN"/>
        </w:rPr>
        <w:t>监管机构</w:t>
      </w:r>
      <w:r>
        <w:rPr>
          <w:rFonts w:hint="eastAsia" w:ascii="宋体" w:hAnsi="宋体" w:cs="宋体"/>
          <w:bCs/>
          <w:szCs w:val="21"/>
        </w:rPr>
        <w:t>有强制规定的，从其规定。如有新增事项或变更事项，依法按最新规定计算。没有相关规定的，由产品管理人与托管人协商确定计算方法。</w:t>
      </w:r>
    </w:p>
    <w:p>
      <w:pPr>
        <w:spacing w:line="360" w:lineRule="auto"/>
        <w:ind w:firstLine="420" w:firstLineChars="200"/>
        <w:rPr>
          <w:rFonts w:ascii="宋体" w:hAnsi="宋体" w:cs="宋体"/>
          <w:b/>
          <w:bCs/>
          <w:snapToGrid w:val="0"/>
          <w:szCs w:val="21"/>
        </w:rPr>
      </w:pPr>
      <w:r>
        <w:rPr>
          <w:rFonts w:hint="eastAsia" w:ascii="宋体" w:hAnsi="宋体" w:cs="宋体"/>
          <w:bCs/>
          <w:szCs w:val="21"/>
        </w:rPr>
        <w:t>10.如有确凿证据表明按上述规定不能客观反映理财产品财产公允价值的，产品管理人可根据具体情况，在与托管人商议后，按最能反映理财产品财产公允价值的方法估值。即使存在上述情况，产品管理人或托管人若采用上述规定的方法为理财产品财产进行了估值，仍应被认为采用了适当的估值方法。</w:t>
      </w:r>
    </w:p>
    <w:p>
      <w:pPr>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（四）估值错误的处理</w:t>
      </w:r>
    </w:p>
    <w:p>
      <w:pPr>
        <w:tabs>
          <w:tab w:val="left" w:pos="0"/>
        </w:tabs>
        <w:spacing w:line="360" w:lineRule="auto"/>
        <w:ind w:firstLine="420" w:firstLineChars="200"/>
        <w:rPr>
          <w:rFonts w:ascii="宋体" w:hAnsi="宋体" w:cs="宋体"/>
          <w:szCs w:val="21"/>
        </w:rPr>
      </w:pPr>
      <w:r>
        <w:rPr>
          <w:rFonts w:hint="eastAsia" w:ascii="宋体" w:hAnsi="宋体" w:cs="宋体"/>
          <w:szCs w:val="21"/>
        </w:rPr>
        <w:t>产品管理人和产品托管人将采取必要、适当合理的措施确保产品资产估值的准确性、及时性。当产品单位净值出现错误时，产品管理人应当立即予以纠正，并采取合理的措施防止损失进一步扩大。由于本理财产品估值所用的数据来源中出现错误，或由于其他不可抗力原因，产品管理人和产品托管人虽然已采取必要、适当、合理的措施进行检查，但是未能发现该错误的，由此造成的产品估值错误，产品管理人和产品托管人免除赔偿责任。但产品管理人和产品托管人应当积极采取必要的措施消除由此造成的影响。</w:t>
      </w:r>
    </w:p>
    <w:p>
      <w:pPr>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（五）暂停估值</w:t>
      </w:r>
    </w:p>
    <w:p>
      <w:pPr>
        <w:tabs>
          <w:tab w:val="left" w:pos="0"/>
        </w:tabs>
        <w:spacing w:line="360" w:lineRule="auto"/>
        <w:ind w:firstLine="420" w:firstLineChars="200"/>
        <w:rPr>
          <w:rFonts w:ascii="宋体" w:hAnsi="宋体" w:cs="宋体"/>
          <w:szCs w:val="21"/>
        </w:rPr>
      </w:pPr>
      <w:r>
        <w:rPr>
          <w:rFonts w:hint="eastAsia" w:ascii="宋体" w:hAnsi="宋体" w:cs="宋体"/>
          <w:szCs w:val="21"/>
        </w:rPr>
        <w:t>1.在前一估值日内，产品资产净值50%以上的资产不具备活跃交易市场或者在活跃市场中无报价，且不能采用估值技术可靠计量公允价值的，管理人将暂停本产品估值</w:t>
      </w:r>
      <w:r>
        <w:rPr>
          <w:rFonts w:ascii="宋体" w:hAnsi="宋体" w:cs="宋体"/>
          <w:szCs w:val="21"/>
        </w:rPr>
        <w:t>，</w:t>
      </w:r>
      <w:r>
        <w:rPr>
          <w:rFonts w:hint="eastAsia" w:ascii="宋体" w:hAnsi="宋体" w:cs="宋体"/>
          <w:szCs w:val="21"/>
        </w:rPr>
        <w:t>并可以采取延缓支付赎回款项或暂停接受理财产品认（申）购、赎回申请等措施。待估值条件恢复时，将按规定完成估值工作。</w:t>
      </w:r>
    </w:p>
    <w:p>
      <w:pPr>
        <w:tabs>
          <w:tab w:val="left" w:pos="0"/>
        </w:tabs>
        <w:spacing w:line="360" w:lineRule="auto"/>
        <w:ind w:firstLine="420" w:firstLineChars="200"/>
        <w:rPr>
          <w:rFonts w:ascii="宋体" w:hAnsi="宋体" w:cs="宋体"/>
          <w:szCs w:val="21"/>
        </w:rPr>
      </w:pPr>
      <w:r>
        <w:rPr>
          <w:rFonts w:hint="eastAsia" w:ascii="宋体" w:hAnsi="宋体" w:cs="宋体"/>
          <w:szCs w:val="21"/>
        </w:rPr>
        <w:t>2.理财产品投资所涉及的证券交易所遇法定节假日或其他原因暂停营业时，或因任何不可抗力致使无法准确评估资产价值时，可暂停估值。但估值条件恢复时，将按规定完成估值工作。</w:t>
      </w:r>
    </w:p>
    <w:p>
      <w:pPr>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（六）摆动定价</w:t>
      </w:r>
    </w:p>
    <w:p>
      <w:pPr>
        <w:tabs>
          <w:tab w:val="left" w:pos="0"/>
        </w:tabs>
        <w:spacing w:line="360" w:lineRule="auto"/>
        <w:ind w:firstLine="420" w:firstLineChars="200"/>
        <w:rPr>
          <w:rFonts w:ascii="宋体" w:hAnsi="宋体" w:cs="宋体"/>
          <w:szCs w:val="21"/>
        </w:rPr>
      </w:pPr>
      <w:r>
        <w:rPr>
          <w:rFonts w:hint="eastAsia" w:ascii="宋体" w:hAnsi="宋体" w:cs="宋体"/>
          <w:szCs w:val="21"/>
        </w:rPr>
        <w:t>当本产品发生大额申购或赎回情形时，管理人有权对本产品采用摆动定价机制，通过调整理财产品份额净值方式，将理财产品调整投资组合的市场冲击成本分配给实际申购、赎回的投资者，以期实现理财产品估值的公平性以及投资者的合法权益得到公平对待，具体处理原则与操作规范遵循相关法律法规以及</w:t>
      </w:r>
      <w:r>
        <w:rPr>
          <w:rFonts w:hint="eastAsia" w:ascii="宋体" w:hAnsi="宋体" w:cs="宋体"/>
          <w:szCs w:val="21"/>
          <w:lang w:eastAsia="zh-CN"/>
        </w:rPr>
        <w:t>监管机构</w:t>
      </w:r>
      <w:r>
        <w:rPr>
          <w:rFonts w:hint="eastAsia" w:ascii="宋体" w:hAnsi="宋体" w:cs="宋体"/>
          <w:szCs w:val="21"/>
        </w:rPr>
        <w:t>、自律规则的相关规定。</w:t>
      </w:r>
    </w:p>
    <w:p>
      <w:pPr>
        <w:tabs>
          <w:tab w:val="left" w:pos="420"/>
          <w:tab w:val="left" w:pos="720"/>
        </w:tabs>
        <w:spacing w:line="360" w:lineRule="auto"/>
        <w:ind w:firstLine="482" w:firstLineChars="200"/>
        <w:rPr>
          <w:rFonts w:ascii="宋体" w:hAnsi="宋体" w:cs="宋体"/>
          <w:b/>
          <w:bCs/>
          <w:snapToGrid w:val="0"/>
          <w:sz w:val="24"/>
          <w:szCs w:val="24"/>
        </w:rPr>
      </w:pPr>
    </w:p>
    <w:p>
      <w:pPr>
        <w:spacing w:line="360" w:lineRule="auto"/>
        <w:jc w:val="center"/>
        <w:outlineLvl w:val="0"/>
        <w:rPr>
          <w:rFonts w:ascii="宋体" w:hAnsi="宋体" w:cs="宋体"/>
          <w:b/>
          <w:bCs/>
          <w:snapToGrid w:val="0"/>
          <w:sz w:val="28"/>
          <w:szCs w:val="28"/>
        </w:rPr>
      </w:pPr>
      <w:r>
        <w:rPr>
          <w:rFonts w:ascii="宋体" w:hAnsi="宋体" w:cs="宋体"/>
          <w:b/>
          <w:bCs/>
          <w:snapToGrid w:val="0"/>
          <w:sz w:val="28"/>
          <w:szCs w:val="28"/>
        </w:rPr>
        <w:t>六、产品运作</w:t>
      </w:r>
    </w:p>
    <w:p>
      <w:pPr>
        <w:tabs>
          <w:tab w:val="left" w:pos="420"/>
          <w:tab w:val="left" w:pos="720"/>
        </w:tabs>
        <w:spacing w:line="360" w:lineRule="auto"/>
        <w:ind w:firstLine="422" w:firstLineChars="200"/>
        <w:rPr>
          <w:rFonts w:ascii="宋体" w:hAnsi="宋体" w:cs="宋体"/>
          <w:b/>
          <w:bCs/>
          <w:snapToGrid w:val="0"/>
          <w:szCs w:val="21"/>
        </w:rPr>
      </w:pPr>
      <w:r>
        <w:rPr>
          <w:rFonts w:hint="eastAsia" w:ascii="宋体" w:hAnsi="宋体" w:cs="宋体"/>
          <w:b/>
          <w:bCs/>
          <w:snapToGrid w:val="0"/>
          <w:szCs w:val="21"/>
        </w:rPr>
        <w:t>特别提示：投资者认（申）购本理财产品必须全额交付认（申）购款项，</w:t>
      </w:r>
      <w:r>
        <w:rPr>
          <w:rFonts w:hint="eastAsia" w:ascii="宋体" w:hAnsi="宋体" w:cs="宋体"/>
          <w:b/>
          <w:bCs/>
          <w:color w:val="000000"/>
        </w:rPr>
        <w:t>监管机构</w:t>
      </w:r>
      <w:r>
        <w:rPr>
          <w:rFonts w:hint="eastAsia" w:ascii="宋体" w:hAnsi="宋体" w:cs="宋体"/>
          <w:b/>
          <w:bCs/>
          <w:snapToGrid w:val="0"/>
          <w:szCs w:val="21"/>
        </w:rPr>
        <w:t>另有规定的除外；投资者按规定提交认（申）购申请并全额交付款项的，认（申）购申请成立；认（申）购申请是否生效以产品管理人发出的确认信息为准</w:t>
      </w:r>
      <w:r>
        <w:rPr>
          <w:rFonts w:ascii="宋体" w:hAnsi="宋体" w:cs="宋体"/>
          <w:b/>
          <w:bCs/>
          <w:snapToGrid w:val="0"/>
          <w:szCs w:val="21"/>
        </w:rPr>
        <w:t>，</w:t>
      </w:r>
      <w:r>
        <w:rPr>
          <w:rFonts w:hint="eastAsia" w:ascii="宋体" w:hAnsi="宋体" w:cs="宋体"/>
          <w:b/>
          <w:bCs/>
          <w:snapToGrid w:val="0"/>
          <w:szCs w:val="21"/>
        </w:rPr>
        <w:t>产品管理人</w:t>
      </w:r>
      <w:r>
        <w:rPr>
          <w:rFonts w:ascii="宋体" w:hAnsi="宋体" w:cs="宋体"/>
          <w:b/>
          <w:bCs/>
          <w:snapToGrid w:val="0"/>
          <w:szCs w:val="21"/>
        </w:rPr>
        <w:t>委托销售服务机构向投资者展示</w:t>
      </w:r>
      <w:r>
        <w:rPr>
          <w:rFonts w:hint="eastAsia" w:ascii="宋体" w:hAnsi="宋体" w:cs="宋体"/>
          <w:b/>
          <w:bCs/>
          <w:snapToGrid w:val="0"/>
          <w:szCs w:val="21"/>
        </w:rPr>
        <w:t>。</w:t>
      </w:r>
    </w:p>
    <w:p>
      <w:pPr>
        <w:tabs>
          <w:tab w:val="left" w:pos="420"/>
          <w:tab w:val="left" w:pos="720"/>
        </w:tabs>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（一）销售渠道与销售服务机构</w:t>
      </w:r>
    </w:p>
    <w:p>
      <w:pPr>
        <w:tabs>
          <w:tab w:val="left" w:pos="0"/>
        </w:tabs>
        <w:spacing w:line="360" w:lineRule="auto"/>
        <w:ind w:firstLine="420" w:firstLineChars="200"/>
        <w:rPr>
          <w:rFonts w:ascii="宋体" w:hAnsi="宋体" w:cs="宋体"/>
          <w:szCs w:val="21"/>
        </w:rPr>
      </w:pPr>
      <w:r>
        <w:rPr>
          <w:rFonts w:hint="eastAsia" w:ascii="宋体" w:hAnsi="宋体" w:cs="宋体"/>
          <w:szCs w:val="21"/>
        </w:rPr>
        <w:t>本产品的认购、申购与赎回将通过销售服务机构营业网点或网上销售平台</w:t>
      </w:r>
      <w:r>
        <w:rPr>
          <w:rFonts w:ascii="宋体" w:hAnsi="宋体" w:cs="宋体"/>
          <w:szCs w:val="21"/>
        </w:rPr>
        <w:t>（</w:t>
      </w:r>
      <w:r>
        <w:rPr>
          <w:rFonts w:hint="eastAsia" w:ascii="宋体" w:hAnsi="宋体" w:cs="宋体"/>
          <w:szCs w:val="21"/>
        </w:rPr>
        <w:t>含网上银行、手机银行，具体以销售服务机构提供的方式为准）进行。本产品销售服务机构包括但不限于</w:t>
      </w:r>
      <w:r>
        <w:rPr>
          <w:rFonts w:hint="eastAsia" w:ascii="宋体" w:hAnsi="宋体" w:cs="宋体"/>
          <w:b w:val="0"/>
          <w:bCs w:val="0"/>
          <w:snapToGrid w:val="0"/>
          <w:szCs w:val="21"/>
          <w:highlight w:val="none"/>
          <w:lang w:val="en-US" w:eastAsia="zh-CN"/>
        </w:rPr>
        <w:t>交通银行股份有限公司、</w:t>
      </w:r>
      <w:r>
        <w:rPr>
          <w:rFonts w:hint="eastAsia" w:ascii="宋体" w:hAnsi="宋体" w:cs="宋体"/>
          <w:szCs w:val="21"/>
          <w:lang w:val="en-US" w:eastAsia="zh-CN"/>
        </w:rPr>
        <w:t>上海浦东发展银行股份有限公司、</w:t>
      </w:r>
      <w:r>
        <w:rPr>
          <w:rFonts w:hint="eastAsia" w:ascii="宋体" w:hAnsi="宋体" w:cs="宋体"/>
          <w:b w:val="0"/>
          <w:bCs w:val="0"/>
          <w:snapToGrid w:val="0"/>
          <w:szCs w:val="21"/>
          <w:highlight w:val="none"/>
          <w:lang w:val="en-US" w:eastAsia="zh-CN"/>
        </w:rPr>
        <w:t>南京银行股份有限公司、</w:t>
      </w:r>
      <w:r>
        <w:rPr>
          <w:rFonts w:hint="eastAsia" w:ascii="宋体" w:hAnsi="宋体" w:cs="宋体"/>
          <w:b w:val="0"/>
          <w:bCs w:val="0"/>
          <w:snapToGrid w:val="0"/>
          <w:szCs w:val="21"/>
          <w:highlight w:val="none"/>
        </w:rPr>
        <w:t>九江银行股份有限公司</w:t>
      </w:r>
      <w:r>
        <w:rPr>
          <w:rFonts w:hint="eastAsia" w:ascii="宋体" w:hAnsi="宋体" w:cs="宋体"/>
          <w:b w:val="0"/>
          <w:bCs w:val="0"/>
          <w:snapToGrid w:val="0"/>
          <w:szCs w:val="21"/>
          <w:highlight w:val="none"/>
          <w:lang w:eastAsia="zh-CN"/>
        </w:rPr>
        <w:t>、</w:t>
      </w:r>
      <w:r>
        <w:rPr>
          <w:rFonts w:hint="eastAsia" w:ascii="宋体" w:hAnsi="宋体" w:cs="宋体"/>
          <w:b w:val="0"/>
          <w:bCs w:val="0"/>
          <w:snapToGrid w:val="0"/>
          <w:szCs w:val="21"/>
          <w:highlight w:val="none"/>
          <w:lang w:val="en-US" w:eastAsia="zh-CN"/>
        </w:rPr>
        <w:t>江苏银行股份有限公司、杭州银行股份有限公司、中信银行股份有限公司、上海银行股份有限公司、兴业银行股份有限公司</w:t>
      </w:r>
      <w:r>
        <w:rPr>
          <w:rFonts w:hint="eastAsia" w:ascii="宋体" w:hAnsi="宋体" w:cs="宋体"/>
          <w:szCs w:val="21"/>
        </w:rPr>
        <w:t>等，其他销售服务机构由产品管理人在官方网站或相关公告中列明。产品管理人可根据情况变更或增减销售服务机构，并在产品管理人官方网站予以公布，具体以官网公布为准。</w:t>
      </w:r>
    </w:p>
    <w:p>
      <w:pPr>
        <w:tabs>
          <w:tab w:val="left" w:pos="0"/>
        </w:tabs>
        <w:spacing w:line="360" w:lineRule="auto"/>
        <w:ind w:firstLine="420" w:firstLineChars="200"/>
        <w:rPr>
          <w:rFonts w:ascii="宋体" w:hAnsi="宋体" w:cs="宋体"/>
          <w:szCs w:val="21"/>
        </w:rPr>
      </w:pPr>
      <w:r>
        <w:rPr>
          <w:rFonts w:hint="eastAsia" w:ascii="宋体" w:hAnsi="宋体" w:cs="宋体"/>
          <w:szCs w:val="21"/>
        </w:rPr>
        <w:t>本产品销售服务机构主要信息如下：</w:t>
      </w:r>
    </w:p>
    <w:p>
      <w:pPr>
        <w:tabs>
          <w:tab w:val="left" w:pos="0"/>
        </w:tabs>
        <w:spacing w:line="360" w:lineRule="auto"/>
        <w:ind w:firstLine="420" w:firstLineChars="200"/>
        <w:outlineLvl w:val="2"/>
        <w:rPr>
          <w:rFonts w:ascii="宋体" w:hAnsi="宋体" w:cs="宋体"/>
          <w:szCs w:val="21"/>
          <w:highlight w:val="none"/>
        </w:rPr>
      </w:pPr>
      <w:r>
        <w:rPr>
          <w:rFonts w:hint="eastAsia" w:ascii="宋体" w:hAnsi="宋体" w:cs="宋体"/>
          <w:b w:val="0"/>
          <w:bCs w:val="0"/>
          <w:snapToGrid w:val="0"/>
          <w:szCs w:val="21"/>
          <w:highlight w:val="none"/>
          <w:lang w:val="en-US" w:eastAsia="zh-CN"/>
        </w:rPr>
        <w:t>1.交通</w:t>
      </w:r>
      <w:r>
        <w:rPr>
          <w:rFonts w:hint="eastAsia" w:ascii="宋体" w:hAnsi="宋体" w:cs="宋体"/>
          <w:szCs w:val="21"/>
          <w:highlight w:val="none"/>
        </w:rPr>
        <w:t>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销售服务机构</w:t>
            </w:r>
          </w:p>
        </w:tc>
        <w:tc>
          <w:tcPr>
            <w:tcW w:w="6968"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val="0"/>
                <w:bCs w:val="0"/>
                <w:snapToGrid w:val="0"/>
                <w:szCs w:val="21"/>
                <w:highlight w:val="none"/>
                <w:lang w:val="en-US" w:eastAsia="zh-CN"/>
              </w:rPr>
              <w:t>交通</w:t>
            </w:r>
            <w:r>
              <w:rPr>
                <w:rFonts w:hint="eastAsia" w:ascii="宋体" w:hAnsi="宋体" w:cs="宋体"/>
                <w:szCs w:val="21"/>
                <w:highlight w:val="none"/>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住所</w:t>
            </w:r>
          </w:p>
        </w:tc>
        <w:tc>
          <w:tcPr>
            <w:tcW w:w="6968" w:type="dxa"/>
            <w:vAlign w:val="center"/>
          </w:tcPr>
          <w:p>
            <w:pPr>
              <w:tabs>
                <w:tab w:val="left" w:pos="0"/>
              </w:tabs>
              <w:ind w:left="181" w:leftChars="86"/>
              <w:jc w:val="center"/>
              <w:rPr>
                <w:rFonts w:ascii="宋体" w:hAnsi="宋体" w:cs="宋体"/>
                <w:b w:val="0"/>
                <w:bCs w:val="0"/>
                <w:snapToGrid w:val="0"/>
                <w:szCs w:val="21"/>
                <w:highlight w:val="none"/>
              </w:rPr>
            </w:pPr>
            <w:r>
              <w:rPr>
                <w:rFonts w:hint="eastAsia" w:ascii="宋体" w:hAnsi="宋体" w:cs="宋体"/>
                <w:b w:val="0"/>
                <w:bCs w:val="0"/>
                <w:snapToGrid w:val="0"/>
                <w:szCs w:val="21"/>
                <w:highlight w:val="none"/>
              </w:rPr>
              <w:t>中国（上海）自由贸易试验区银城中路188号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客户服务热线</w:t>
            </w:r>
          </w:p>
        </w:tc>
        <w:tc>
          <w:tcPr>
            <w:tcW w:w="6968" w:type="dxa"/>
            <w:vAlign w:val="center"/>
          </w:tcPr>
          <w:p>
            <w:pPr>
              <w:widowControl/>
              <w:tabs>
                <w:tab w:val="left" w:pos="0"/>
              </w:tabs>
              <w:ind w:left="181" w:leftChars="86"/>
              <w:jc w:val="center"/>
              <w:textAlignment w:val="auto"/>
              <w:rPr>
                <w:rFonts w:ascii="宋体" w:hAnsi="宋体" w:cs="宋体"/>
                <w:b w:val="0"/>
                <w:bCs w:val="0"/>
                <w:snapToGrid w:val="0"/>
                <w:szCs w:val="21"/>
                <w:highlight w:val="none"/>
              </w:rPr>
            </w:pPr>
            <w:r>
              <w:rPr>
                <w:rFonts w:hint="eastAsia" w:ascii="宋体" w:hAnsi="宋体" w:eastAsia="宋体" w:cs="宋体"/>
                <w:sz w:val="21"/>
                <w:szCs w:val="21"/>
                <w:highlight w:val="none"/>
              </w:rPr>
              <w:t>95559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官方网站</w:t>
            </w:r>
          </w:p>
        </w:tc>
        <w:tc>
          <w:tcPr>
            <w:tcW w:w="6968" w:type="dxa"/>
            <w:vAlign w:val="center"/>
          </w:tcPr>
          <w:p>
            <w:pPr>
              <w:widowControl/>
              <w:tabs>
                <w:tab w:val="left" w:pos="0"/>
              </w:tabs>
              <w:ind w:left="181" w:leftChars="86"/>
              <w:jc w:val="center"/>
              <w:textAlignment w:val="auto"/>
              <w:rPr>
                <w:rFonts w:ascii="宋体" w:hAnsi="宋体" w:cs="宋体"/>
                <w:b w:val="0"/>
                <w:bCs w:val="0"/>
                <w:snapToGrid w:val="0"/>
                <w:szCs w:val="21"/>
                <w:highlight w:val="none"/>
              </w:rPr>
            </w:pPr>
            <w:r>
              <w:rPr>
                <w:rFonts w:hint="eastAsia" w:ascii="宋体" w:hAnsi="宋体" w:eastAsia="宋体" w:cs="宋体"/>
                <w:sz w:val="21"/>
                <w:szCs w:val="21"/>
                <w:highlight w:val="none"/>
              </w:rPr>
              <w:t>http://www.bankcomm.com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51"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主要职责</w:t>
            </w:r>
          </w:p>
        </w:tc>
        <w:tc>
          <w:tcPr>
            <w:tcW w:w="6968" w:type="dxa"/>
            <w:vAlign w:val="center"/>
          </w:tcPr>
          <w:p>
            <w:pPr>
              <w:tabs>
                <w:tab w:val="left" w:pos="0"/>
              </w:tabs>
              <w:ind w:left="181" w:leftChars="86"/>
              <w:rPr>
                <w:rFonts w:ascii="宋体" w:hAnsi="宋体"/>
                <w:szCs w:val="21"/>
                <w:highlight w:val="none"/>
              </w:rPr>
            </w:pPr>
            <w:r>
              <w:rPr>
                <w:rFonts w:hint="eastAsia" w:ascii="宋体" w:hAnsi="宋体"/>
                <w:szCs w:val="21"/>
                <w:highlight w:val="none"/>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tabs>
          <w:tab w:val="left" w:pos="0"/>
        </w:tabs>
        <w:spacing w:line="360" w:lineRule="auto"/>
        <w:ind w:firstLine="420" w:firstLineChars="200"/>
        <w:outlineLvl w:val="2"/>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cs="宋体"/>
          <w:szCs w:val="21"/>
        </w:rPr>
        <w:t>.上海浦东发展银行股份有限公司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销售服务机构</w:t>
            </w:r>
          </w:p>
        </w:tc>
        <w:tc>
          <w:tcPr>
            <w:tcW w:w="6968" w:type="dxa"/>
            <w:vAlign w:val="center"/>
          </w:tcPr>
          <w:p>
            <w:pPr>
              <w:tabs>
                <w:tab w:val="left" w:pos="0"/>
              </w:tabs>
              <w:spacing w:line="240" w:lineRule="auto"/>
              <w:ind w:left="181" w:leftChars="86" w:firstLine="0" w:firstLineChars="0"/>
              <w:jc w:val="center"/>
              <w:rPr>
                <w:rFonts w:hint="eastAsia" w:ascii="宋体" w:hAnsi="宋体" w:eastAsia="宋体" w:cs="Times New Roman"/>
                <w:b w:val="0"/>
                <w:bCs w:val="0"/>
                <w:snapToGrid/>
                <w:szCs w:val="21"/>
              </w:rPr>
            </w:pPr>
            <w:r>
              <w:rPr>
                <w:rFonts w:hint="eastAsia" w:ascii="宋体" w:hAnsi="宋体" w:eastAsia="宋体" w:cs="Times New Roman"/>
                <w:szCs w:val="21"/>
              </w:rPr>
              <w:t>上海浦东发展银行股份有限公司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住所</w:t>
            </w:r>
          </w:p>
        </w:tc>
        <w:tc>
          <w:tcPr>
            <w:tcW w:w="6968" w:type="dxa"/>
            <w:vAlign w:val="center"/>
          </w:tcPr>
          <w:p>
            <w:pPr>
              <w:tabs>
                <w:tab w:val="left" w:pos="0"/>
              </w:tabs>
              <w:spacing w:line="240" w:lineRule="auto"/>
              <w:ind w:left="181" w:leftChars="86" w:firstLine="0" w:firstLineChars="0"/>
              <w:jc w:val="center"/>
              <w:rPr>
                <w:rFonts w:hint="eastAsia" w:ascii="宋体" w:hAnsi="宋体" w:eastAsia="宋体" w:cs="Times New Roman"/>
                <w:snapToGrid/>
                <w:szCs w:val="21"/>
              </w:rPr>
            </w:pPr>
            <w:r>
              <w:rPr>
                <w:rFonts w:hint="eastAsia" w:ascii="宋体" w:hAnsi="宋体" w:eastAsia="宋体" w:cs="Times New Roman"/>
                <w:sz w:val="21"/>
                <w:szCs w:val="21"/>
              </w:rPr>
              <w:t>上海市中山东一路12号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客户服务热线</w:t>
            </w:r>
          </w:p>
        </w:tc>
        <w:tc>
          <w:tcPr>
            <w:tcW w:w="6968" w:type="dxa"/>
            <w:vAlign w:val="center"/>
          </w:tcPr>
          <w:p>
            <w:pPr>
              <w:widowControl/>
              <w:tabs>
                <w:tab w:val="left" w:pos="0"/>
              </w:tabs>
              <w:ind w:left="181" w:leftChars="86"/>
              <w:jc w:val="center"/>
              <w:textAlignment w:val="auto"/>
              <w:rPr>
                <w:rFonts w:hint="eastAsia" w:ascii="宋体" w:hAnsi="宋体" w:eastAsia="宋体" w:cs="Times New Roman"/>
                <w:snapToGrid/>
                <w:szCs w:val="21"/>
              </w:rPr>
            </w:pPr>
            <w:r>
              <w:rPr>
                <w:rFonts w:hint="eastAsia" w:ascii="宋体" w:hAnsi="宋体" w:eastAsia="宋体" w:cs="Times New Roman"/>
                <w:sz w:val="21"/>
                <w:szCs w:val="21"/>
              </w:rPr>
              <w:t>95528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官方网站</w:t>
            </w:r>
          </w:p>
        </w:tc>
        <w:tc>
          <w:tcPr>
            <w:tcW w:w="6968" w:type="dxa"/>
            <w:vAlign w:val="center"/>
          </w:tcPr>
          <w:p>
            <w:pPr>
              <w:widowControl/>
              <w:tabs>
                <w:tab w:val="left" w:pos="0"/>
              </w:tabs>
              <w:ind w:left="181" w:leftChars="86"/>
              <w:jc w:val="center"/>
              <w:textAlignment w:val="auto"/>
              <w:rPr>
                <w:rFonts w:hint="eastAsia" w:ascii="宋体" w:hAnsi="宋体" w:eastAsia="宋体" w:cs="Times New Roman"/>
                <w:snapToGrid/>
                <w:szCs w:val="21"/>
              </w:rPr>
            </w:pPr>
            <w:r>
              <w:rPr>
                <w:rFonts w:hint="eastAsia" w:ascii="宋体" w:hAnsi="宋体" w:eastAsia="宋体" w:cs="Times New Roman"/>
                <w:sz w:val="21"/>
                <w:szCs w:val="21"/>
              </w:rPr>
              <w:t>https://www.spdb.com.cn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主要职责</w:t>
            </w:r>
          </w:p>
        </w:tc>
        <w:tc>
          <w:tcPr>
            <w:tcW w:w="6968" w:type="dxa"/>
            <w:vAlign w:val="center"/>
          </w:tcPr>
          <w:p>
            <w:pPr>
              <w:tabs>
                <w:tab w:val="left" w:pos="0"/>
              </w:tabs>
              <w:ind w:left="181" w:leftChars="86"/>
              <w:jc w:val="left"/>
              <w:rPr>
                <w:rFonts w:hint="eastAsia" w:ascii="宋体" w:hAnsi="宋体" w:eastAsia="宋体"/>
                <w:szCs w:val="21"/>
              </w:rPr>
            </w:pPr>
            <w:r>
              <w:rPr>
                <w:rFonts w:hint="eastAsia" w:ascii="宋体" w:hAnsi="宋体" w:eastAsia="宋体"/>
                <w:szCs w:val="21"/>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tabs>
          <w:tab w:val="left" w:pos="0"/>
        </w:tabs>
        <w:spacing w:line="360" w:lineRule="auto"/>
        <w:ind w:firstLine="420" w:firstLineChars="200"/>
        <w:outlineLvl w:val="2"/>
        <w:rPr>
          <w:rFonts w:ascii="宋体" w:hAnsi="宋体" w:cs="宋体"/>
          <w:szCs w:val="21"/>
          <w:highlight w:val="none"/>
        </w:rPr>
      </w:pPr>
      <w:r>
        <w:rPr>
          <w:rFonts w:hint="eastAsia" w:ascii="宋体" w:hAnsi="宋体" w:cs="宋体"/>
          <w:b w:val="0"/>
          <w:bCs w:val="0"/>
          <w:snapToGrid w:val="0"/>
          <w:szCs w:val="21"/>
          <w:highlight w:val="none"/>
          <w:lang w:val="en-US" w:eastAsia="zh-CN"/>
        </w:rPr>
        <w:t>3.南京银行股份有限公司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销售服务机构</w:t>
            </w:r>
          </w:p>
        </w:tc>
        <w:tc>
          <w:tcPr>
            <w:tcW w:w="6968" w:type="dxa"/>
            <w:vAlign w:val="center"/>
          </w:tcPr>
          <w:p>
            <w:pPr>
              <w:tabs>
                <w:tab w:val="left" w:pos="0"/>
              </w:tabs>
              <w:ind w:left="181" w:leftChars="86"/>
              <w:jc w:val="center"/>
              <w:rPr>
                <w:rFonts w:hint="eastAsia" w:ascii="宋体" w:hAnsi="宋体" w:cs="宋体"/>
                <w:b w:val="0"/>
                <w:bCs w:val="0"/>
                <w:snapToGrid w:val="0"/>
                <w:szCs w:val="21"/>
                <w:highlight w:val="none"/>
              </w:rPr>
            </w:pPr>
            <w:r>
              <w:rPr>
                <w:rFonts w:hint="eastAsia" w:ascii="宋体" w:hAnsi="宋体" w:cs="宋体"/>
                <w:b w:val="0"/>
                <w:bCs w:val="0"/>
                <w:snapToGrid w:val="0"/>
                <w:szCs w:val="21"/>
                <w:highlight w:val="none"/>
                <w:lang w:val="en-US" w:eastAsia="zh-CN"/>
              </w:rPr>
              <w:t>南京银行股份有限公司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住所</w:t>
            </w:r>
          </w:p>
        </w:tc>
        <w:tc>
          <w:tcPr>
            <w:tcW w:w="6968" w:type="dxa"/>
            <w:vAlign w:val="center"/>
          </w:tcPr>
          <w:p>
            <w:pPr>
              <w:tabs>
                <w:tab w:val="left" w:pos="0"/>
              </w:tabs>
              <w:ind w:left="181" w:leftChars="86"/>
              <w:jc w:val="center"/>
              <w:rPr>
                <w:rFonts w:ascii="宋体" w:hAnsi="宋体" w:cs="宋体"/>
                <w:b w:val="0"/>
                <w:bCs w:val="0"/>
                <w:snapToGrid w:val="0"/>
                <w:szCs w:val="21"/>
                <w:highlight w:val="none"/>
              </w:rPr>
            </w:pPr>
            <w:r>
              <w:rPr>
                <w:rFonts w:hint="eastAsia" w:ascii="宋体" w:hAnsi="宋体" w:cs="宋体"/>
                <w:b w:val="0"/>
                <w:bCs w:val="0"/>
                <w:snapToGrid w:val="0"/>
                <w:szCs w:val="21"/>
                <w:highlight w:val="none"/>
              </w:rPr>
              <w:t>南京市建邺区江山大街88号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客户服务热线</w:t>
            </w:r>
          </w:p>
        </w:tc>
        <w:tc>
          <w:tcPr>
            <w:tcW w:w="6968" w:type="dxa"/>
            <w:vAlign w:val="center"/>
          </w:tcPr>
          <w:p>
            <w:pPr>
              <w:widowControl/>
              <w:tabs>
                <w:tab w:val="left" w:pos="0"/>
              </w:tabs>
              <w:ind w:left="181" w:leftChars="86"/>
              <w:jc w:val="center"/>
              <w:textAlignment w:val="auto"/>
              <w:rPr>
                <w:rFonts w:ascii="宋体" w:hAnsi="宋体" w:cs="宋体"/>
                <w:b w:val="0"/>
                <w:bCs w:val="0"/>
                <w:snapToGrid w:val="0"/>
                <w:szCs w:val="21"/>
                <w:highlight w:val="none"/>
              </w:rPr>
            </w:pPr>
            <w:r>
              <w:rPr>
                <w:rFonts w:hint="eastAsia" w:ascii="宋体" w:hAnsi="宋体" w:cs="宋体"/>
                <w:snapToGrid w:val="0"/>
                <w:szCs w:val="21"/>
                <w:highlight w:val="none"/>
              </w:rPr>
              <w:t>95302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1"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官方网站</w:t>
            </w:r>
          </w:p>
        </w:tc>
        <w:tc>
          <w:tcPr>
            <w:tcW w:w="6968" w:type="dxa"/>
            <w:vAlign w:val="center"/>
          </w:tcPr>
          <w:p>
            <w:pPr>
              <w:widowControl/>
              <w:tabs>
                <w:tab w:val="left" w:pos="0"/>
              </w:tabs>
              <w:ind w:left="181" w:leftChars="86"/>
              <w:jc w:val="center"/>
              <w:textAlignment w:val="auto"/>
              <w:rPr>
                <w:rFonts w:ascii="宋体" w:hAnsi="宋体" w:cs="宋体"/>
                <w:b w:val="0"/>
                <w:bCs w:val="0"/>
                <w:snapToGrid w:val="0"/>
                <w:szCs w:val="21"/>
                <w:highlight w:val="none"/>
              </w:rPr>
            </w:pPr>
            <w:r>
              <w:rPr>
                <w:rFonts w:hint="eastAsia" w:ascii="宋体" w:hAnsi="宋体" w:cs="宋体"/>
                <w:snapToGrid w:val="0"/>
                <w:szCs w:val="21"/>
                <w:highlight w:val="none"/>
              </w:rPr>
              <w:t>https://www.njcb.com.cn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51"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主要职责</w:t>
            </w:r>
          </w:p>
        </w:tc>
        <w:tc>
          <w:tcPr>
            <w:tcW w:w="6968" w:type="dxa"/>
            <w:vAlign w:val="center"/>
          </w:tcPr>
          <w:p>
            <w:pPr>
              <w:tabs>
                <w:tab w:val="left" w:pos="0"/>
              </w:tabs>
              <w:ind w:left="181" w:leftChars="86"/>
              <w:rPr>
                <w:rFonts w:ascii="宋体" w:hAnsi="宋体"/>
                <w:szCs w:val="21"/>
                <w:highlight w:val="none"/>
              </w:rPr>
            </w:pPr>
            <w:r>
              <w:rPr>
                <w:rFonts w:hint="eastAsia" w:ascii="宋体" w:hAnsi="宋体"/>
                <w:szCs w:val="21"/>
                <w:highlight w:val="none"/>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ind w:firstLine="420" w:firstLineChars="200"/>
        <w:outlineLvl w:val="2"/>
        <w:rPr>
          <w:highlight w:val="none"/>
        </w:rPr>
      </w:pPr>
      <w:r>
        <w:rPr>
          <w:rFonts w:hint="eastAsia" w:ascii="宋体" w:hAnsi="宋体" w:cs="宋体"/>
          <w:b w:val="0"/>
          <w:bCs w:val="0"/>
          <w:snapToGrid w:val="0"/>
          <w:szCs w:val="21"/>
          <w:highlight w:val="none"/>
          <w:lang w:val="en-US" w:eastAsia="zh-CN"/>
        </w:rPr>
        <w:t>4.</w:t>
      </w:r>
      <w:r>
        <w:rPr>
          <w:rFonts w:hint="eastAsia" w:ascii="宋体" w:hAnsi="宋体" w:cs="宋体"/>
          <w:b w:val="0"/>
          <w:bCs w:val="0"/>
          <w:snapToGrid w:val="0"/>
          <w:szCs w:val="21"/>
          <w:highlight w:val="none"/>
        </w:rPr>
        <w:t>九江银行股份有限公司</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销售服务机构</w:t>
            </w:r>
          </w:p>
        </w:tc>
        <w:tc>
          <w:tcPr>
            <w:tcW w:w="6600" w:type="dxa"/>
            <w:vAlign w:val="center"/>
          </w:tcPr>
          <w:p>
            <w:pPr>
              <w:jc w:val="center"/>
              <w:rPr>
                <w:highlight w:val="none"/>
              </w:rPr>
            </w:pPr>
            <w:r>
              <w:rPr>
                <w:rFonts w:hint="eastAsia"/>
                <w:highlight w:val="none"/>
              </w:rPr>
              <w:t>九江银行股份有限公司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住所</w:t>
            </w:r>
          </w:p>
        </w:tc>
        <w:tc>
          <w:tcPr>
            <w:tcW w:w="6600" w:type="dxa"/>
            <w:vAlign w:val="center"/>
          </w:tcPr>
          <w:p>
            <w:pPr>
              <w:jc w:val="center"/>
              <w:rPr>
                <w:highlight w:val="none"/>
              </w:rPr>
            </w:pPr>
            <w:r>
              <w:rPr>
                <w:rFonts w:hint="eastAsia"/>
                <w:highlight w:val="none"/>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客户服务热线</w:t>
            </w:r>
          </w:p>
        </w:tc>
        <w:tc>
          <w:tcPr>
            <w:tcW w:w="6600" w:type="dxa"/>
            <w:vAlign w:val="center"/>
          </w:tcPr>
          <w:p>
            <w:pPr>
              <w:jc w:val="center"/>
              <w:rPr>
                <w:rFonts w:hint="default" w:eastAsia="宋体"/>
                <w:highlight w:val="none"/>
                <w:lang w:val="en-US" w:eastAsia="zh-CN"/>
              </w:rPr>
            </w:pPr>
            <w:r>
              <w:rPr>
                <w:rFonts w:hint="default" w:eastAsia="宋体"/>
                <w:highlight w:val="none"/>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官方网站</w:t>
            </w:r>
          </w:p>
        </w:tc>
        <w:tc>
          <w:tcPr>
            <w:tcW w:w="6600" w:type="dxa"/>
            <w:vAlign w:val="center"/>
          </w:tcPr>
          <w:p>
            <w:pPr>
              <w:jc w:val="center"/>
              <w:rPr>
                <w:highlight w:val="none"/>
              </w:rPr>
            </w:pPr>
            <w:r>
              <w:rPr>
                <w:rFonts w:hint="eastAsia"/>
                <w:highlight w:val="none"/>
              </w:rPr>
              <w:t>https://www.jjccb.com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主要职责</w:t>
            </w:r>
          </w:p>
        </w:tc>
        <w:tc>
          <w:tcPr>
            <w:tcW w:w="6600" w:type="dxa"/>
            <w:vAlign w:val="center"/>
          </w:tcPr>
          <w:p>
            <w:pPr>
              <w:jc w:val="left"/>
              <w:rPr>
                <w:highlight w:val="none"/>
              </w:rPr>
            </w:pPr>
            <w:r>
              <w:rPr>
                <w:rFonts w:ascii="宋体" w:hAnsi="宋体" w:eastAsia="宋体" w:cs="宋体"/>
                <w:b w:val="0"/>
                <w:highlight w:val="none"/>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tabs>
          <w:tab w:val="left" w:pos="0"/>
        </w:tabs>
        <w:spacing w:line="360" w:lineRule="auto"/>
        <w:ind w:firstLine="420" w:firstLineChars="200"/>
        <w:outlineLvl w:val="2"/>
        <w:rPr>
          <w:rFonts w:ascii="宋体" w:hAnsi="宋体" w:cs="宋体"/>
          <w:szCs w:val="21"/>
          <w:highlight w:val="none"/>
        </w:rPr>
      </w:pPr>
      <w:r>
        <w:rPr>
          <w:rFonts w:hint="eastAsia" w:ascii="宋体" w:hAnsi="宋体" w:cs="宋体"/>
          <w:b w:val="0"/>
          <w:bCs w:val="0"/>
          <w:snapToGrid w:val="0"/>
          <w:szCs w:val="21"/>
          <w:highlight w:val="none"/>
          <w:lang w:val="en-US" w:eastAsia="zh-CN"/>
        </w:rPr>
        <w:t>5.江苏银行股份有限公司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076"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销售服务机构</w:t>
            </w:r>
          </w:p>
        </w:tc>
        <w:tc>
          <w:tcPr>
            <w:tcW w:w="6843" w:type="dxa"/>
            <w:vAlign w:val="center"/>
          </w:tcPr>
          <w:p>
            <w:pPr>
              <w:tabs>
                <w:tab w:val="left" w:pos="0"/>
              </w:tabs>
              <w:ind w:left="181" w:leftChars="86"/>
              <w:jc w:val="center"/>
              <w:rPr>
                <w:rFonts w:hint="eastAsia" w:ascii="宋体" w:hAnsi="宋体" w:cs="宋体"/>
                <w:b w:val="0"/>
                <w:bCs w:val="0"/>
                <w:snapToGrid w:val="0"/>
                <w:szCs w:val="21"/>
                <w:highlight w:val="none"/>
              </w:rPr>
            </w:pPr>
            <w:r>
              <w:rPr>
                <w:rFonts w:hint="eastAsia" w:ascii="宋体" w:hAnsi="宋体" w:cs="宋体"/>
                <w:b w:val="0"/>
                <w:bCs w:val="0"/>
                <w:snapToGrid w:val="0"/>
                <w:szCs w:val="21"/>
                <w:highlight w:val="none"/>
                <w:lang w:val="en-US" w:eastAsia="zh-CN"/>
              </w:rPr>
              <w:t>江苏银行股份有限公司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76"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住所</w:t>
            </w:r>
          </w:p>
        </w:tc>
        <w:tc>
          <w:tcPr>
            <w:tcW w:w="6843" w:type="dxa"/>
            <w:vAlign w:val="center"/>
          </w:tcPr>
          <w:p>
            <w:pPr>
              <w:tabs>
                <w:tab w:val="left" w:pos="0"/>
              </w:tabs>
              <w:ind w:left="181" w:leftChars="86"/>
              <w:jc w:val="center"/>
              <w:rPr>
                <w:rFonts w:hint="eastAsia" w:ascii="宋体" w:hAnsi="宋体" w:eastAsia="宋体" w:cs="宋体"/>
                <w:b w:val="0"/>
                <w:bCs w:val="0"/>
                <w:snapToGrid w:val="0"/>
                <w:szCs w:val="21"/>
                <w:highlight w:val="none"/>
              </w:rPr>
            </w:pPr>
            <w:r>
              <w:rPr>
                <w:rFonts w:hint="eastAsia" w:ascii="宋体" w:hAnsi="宋体" w:eastAsia="宋体" w:cs="宋体"/>
                <w:snapToGrid w:val="0"/>
                <w:sz w:val="21"/>
                <w:szCs w:val="21"/>
                <w:highlight w:val="none"/>
              </w:rPr>
              <w:t>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76"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客户服务热线</w:t>
            </w:r>
          </w:p>
        </w:tc>
        <w:tc>
          <w:tcPr>
            <w:tcW w:w="6843" w:type="dxa"/>
            <w:vAlign w:val="center"/>
          </w:tcPr>
          <w:p>
            <w:pPr>
              <w:widowControl/>
              <w:tabs>
                <w:tab w:val="left" w:pos="0"/>
              </w:tabs>
              <w:ind w:left="181" w:leftChars="86"/>
              <w:jc w:val="center"/>
              <w:textAlignment w:val="auto"/>
              <w:rPr>
                <w:rFonts w:hint="eastAsia" w:ascii="宋体" w:hAnsi="宋体" w:eastAsia="宋体" w:cs="宋体"/>
                <w:b w:val="0"/>
                <w:bCs w:val="0"/>
                <w:snapToGrid w:val="0"/>
                <w:szCs w:val="21"/>
                <w:highlight w:val="none"/>
              </w:rPr>
            </w:pPr>
            <w:r>
              <w:rPr>
                <w:rFonts w:hint="eastAsia" w:ascii="宋体" w:hAnsi="宋体" w:eastAsia="宋体" w:cs="宋体"/>
                <w:snapToGrid w:val="0"/>
                <w:sz w:val="21"/>
                <w:szCs w:val="21"/>
                <w:highlight w:val="none"/>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76"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官方网站</w:t>
            </w:r>
          </w:p>
        </w:tc>
        <w:tc>
          <w:tcPr>
            <w:tcW w:w="6843" w:type="dxa"/>
            <w:vAlign w:val="center"/>
          </w:tcPr>
          <w:p>
            <w:pPr>
              <w:widowControl/>
              <w:tabs>
                <w:tab w:val="left" w:pos="0"/>
              </w:tabs>
              <w:ind w:left="181" w:leftChars="86"/>
              <w:jc w:val="center"/>
              <w:textAlignment w:val="auto"/>
              <w:rPr>
                <w:rFonts w:hint="eastAsia" w:ascii="宋体" w:hAnsi="宋体" w:eastAsia="宋体" w:cs="宋体"/>
                <w:b w:val="0"/>
                <w:bCs w:val="0"/>
                <w:snapToGrid w:val="0"/>
                <w:szCs w:val="21"/>
                <w:highlight w:val="none"/>
              </w:rPr>
            </w:pPr>
            <w:r>
              <w:rPr>
                <w:rFonts w:hint="eastAsia" w:ascii="宋体" w:hAnsi="宋体" w:eastAsia="宋体" w:cs="宋体"/>
                <w:snapToGrid w:val="0"/>
                <w:sz w:val="21"/>
                <w:szCs w:val="21"/>
                <w:highlight w:val="none"/>
              </w:rPr>
              <w:t>http://www.jsbchina.cn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2076"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主要职责</w:t>
            </w:r>
          </w:p>
        </w:tc>
        <w:tc>
          <w:tcPr>
            <w:tcW w:w="6843" w:type="dxa"/>
            <w:vAlign w:val="center"/>
          </w:tcPr>
          <w:p>
            <w:pPr>
              <w:tabs>
                <w:tab w:val="left" w:pos="0"/>
              </w:tabs>
              <w:ind w:left="181" w:leftChars="86"/>
              <w:rPr>
                <w:rFonts w:ascii="宋体" w:hAnsi="宋体"/>
                <w:szCs w:val="21"/>
                <w:highlight w:val="none"/>
              </w:rPr>
            </w:pPr>
            <w:r>
              <w:rPr>
                <w:rFonts w:hint="eastAsia" w:ascii="宋体" w:hAnsi="宋体"/>
                <w:szCs w:val="21"/>
                <w:highlight w:val="none"/>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tabs>
          <w:tab w:val="left" w:pos="0"/>
        </w:tabs>
        <w:spacing w:line="360" w:lineRule="auto"/>
        <w:ind w:firstLine="420" w:firstLineChars="200"/>
        <w:outlineLvl w:val="2"/>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杭州银行股份有限公司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销售服务机构</w:t>
            </w:r>
          </w:p>
        </w:tc>
        <w:tc>
          <w:tcPr>
            <w:tcW w:w="6968"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szCs w:val="21"/>
                <w:lang w:val="en-US" w:eastAsia="zh-CN"/>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住所</w:t>
            </w:r>
          </w:p>
        </w:tc>
        <w:tc>
          <w:tcPr>
            <w:tcW w:w="6968" w:type="dxa"/>
            <w:vAlign w:val="center"/>
          </w:tcPr>
          <w:p>
            <w:pPr>
              <w:tabs>
                <w:tab w:val="left" w:pos="0"/>
              </w:tabs>
              <w:ind w:left="181" w:leftChars="86"/>
              <w:jc w:val="center"/>
              <w:rPr>
                <w:rFonts w:ascii="宋体" w:hAnsi="宋体" w:cs="宋体"/>
                <w:snapToGrid w:val="0"/>
                <w:szCs w:val="21"/>
              </w:rPr>
            </w:pPr>
            <w:r>
              <w:rPr>
                <w:rFonts w:hint="eastAsia" w:ascii="宋体" w:hAnsi="宋体" w:cs="宋体"/>
                <w:snapToGrid w:val="0"/>
                <w:szCs w:val="21"/>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客户服务热线</w:t>
            </w:r>
          </w:p>
        </w:tc>
        <w:tc>
          <w:tcPr>
            <w:tcW w:w="6968" w:type="dxa"/>
            <w:vAlign w:val="center"/>
          </w:tcPr>
          <w:p>
            <w:pPr>
              <w:widowControl/>
              <w:tabs>
                <w:tab w:val="left" w:pos="0"/>
              </w:tabs>
              <w:ind w:left="181" w:leftChars="86"/>
              <w:jc w:val="center"/>
              <w:textAlignment w:val="auto"/>
              <w:rPr>
                <w:rFonts w:hint="eastAsia" w:ascii="宋体" w:hAnsi="宋体" w:cs="宋体"/>
                <w:snapToGrid w:val="0"/>
                <w:szCs w:val="21"/>
                <w:lang w:val="en-US"/>
              </w:rPr>
            </w:pPr>
            <w:r>
              <w:rPr>
                <w:rFonts w:hint="eastAsia" w:ascii="宋体" w:hAnsi="宋体" w:eastAsia="宋体" w:cs="宋体"/>
                <w:snapToGrid w:val="0"/>
                <w:kern w:val="2"/>
                <w:sz w:val="21"/>
                <w:szCs w:val="21"/>
                <w:lang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官方网站</w:t>
            </w:r>
          </w:p>
        </w:tc>
        <w:tc>
          <w:tcPr>
            <w:tcW w:w="6968" w:type="dxa"/>
            <w:vAlign w:val="center"/>
          </w:tcPr>
          <w:p>
            <w:pPr>
              <w:widowControl/>
              <w:tabs>
                <w:tab w:val="left" w:pos="0"/>
              </w:tabs>
              <w:ind w:left="181" w:leftChars="86"/>
              <w:jc w:val="center"/>
              <w:textAlignment w:val="auto"/>
              <w:rPr>
                <w:rFonts w:ascii="宋体" w:hAnsi="宋体" w:cs="宋体"/>
                <w:snapToGrid w:val="0"/>
                <w:szCs w:val="21"/>
              </w:rPr>
            </w:pPr>
            <w:r>
              <w:rPr>
                <w:rFonts w:hint="eastAsia" w:ascii="宋体" w:hAnsi="宋体" w:eastAsia="宋体" w:cs="宋体"/>
                <w:snapToGrid w:val="0"/>
                <w:sz w:val="21"/>
                <w:szCs w:val="21"/>
              </w:rPr>
              <w:t>http://</w:t>
            </w:r>
            <w:r>
              <w:rPr>
                <w:rFonts w:hint="eastAsia" w:ascii="宋体" w:hAnsi="宋体" w:eastAsia="宋体" w:cs="宋体"/>
                <w:snapToGrid w:val="0"/>
                <w:kern w:val="2"/>
                <w:sz w:val="21"/>
                <w:szCs w:val="21"/>
                <w:lang w:bidi="ar"/>
              </w:rPr>
              <w:t>www.hzbank.com.cn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主要职责</w:t>
            </w:r>
          </w:p>
        </w:tc>
        <w:tc>
          <w:tcPr>
            <w:tcW w:w="6968" w:type="dxa"/>
            <w:vAlign w:val="center"/>
          </w:tcPr>
          <w:p>
            <w:pPr>
              <w:tabs>
                <w:tab w:val="left" w:pos="0"/>
              </w:tabs>
              <w:ind w:left="181" w:leftChars="86"/>
              <w:rPr>
                <w:rFonts w:ascii="宋体" w:hAnsi="宋体"/>
                <w:szCs w:val="21"/>
              </w:rPr>
            </w:pPr>
            <w:r>
              <w:rPr>
                <w:rFonts w:hint="eastAsia" w:ascii="宋体" w:hAnsi="宋体"/>
                <w:szCs w:val="21"/>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tabs>
          <w:tab w:val="left" w:pos="0"/>
        </w:tabs>
        <w:spacing w:line="360" w:lineRule="auto"/>
        <w:ind w:firstLine="420" w:firstLineChars="200"/>
        <w:outlineLvl w:val="2"/>
        <w:rPr>
          <w:rFonts w:ascii="宋体" w:hAnsi="宋体" w:cs="宋体"/>
          <w:szCs w:val="21"/>
          <w:highlight w:val="none"/>
        </w:rPr>
      </w:pPr>
      <w:r>
        <w:rPr>
          <w:rFonts w:hint="eastAsia" w:ascii="宋体" w:hAnsi="宋体" w:cs="宋体"/>
          <w:b w:val="0"/>
          <w:bCs w:val="0"/>
          <w:snapToGrid w:val="0"/>
          <w:szCs w:val="21"/>
          <w:highlight w:val="none"/>
          <w:lang w:val="en-US" w:eastAsia="zh-CN"/>
        </w:rPr>
        <w:t>7.中信银行股份有限公司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销售服务机构</w:t>
            </w:r>
          </w:p>
        </w:tc>
        <w:tc>
          <w:tcPr>
            <w:tcW w:w="6968" w:type="dxa"/>
            <w:vAlign w:val="center"/>
          </w:tcPr>
          <w:p>
            <w:pPr>
              <w:tabs>
                <w:tab w:val="left" w:pos="0"/>
              </w:tabs>
              <w:ind w:left="181" w:leftChars="86"/>
              <w:jc w:val="center"/>
              <w:rPr>
                <w:rFonts w:hint="eastAsia" w:ascii="宋体" w:hAnsi="宋体" w:cs="宋体"/>
                <w:b w:val="0"/>
                <w:bCs w:val="0"/>
                <w:snapToGrid w:val="0"/>
                <w:szCs w:val="21"/>
                <w:highlight w:val="none"/>
              </w:rPr>
            </w:pPr>
            <w:r>
              <w:rPr>
                <w:rFonts w:hint="eastAsia" w:ascii="宋体" w:hAnsi="宋体" w:cs="宋体"/>
                <w:b w:val="0"/>
                <w:bCs w:val="0"/>
                <w:snapToGrid w:val="0"/>
                <w:szCs w:val="21"/>
                <w:highlight w:val="none"/>
                <w:lang w:val="en-US" w:eastAsia="zh-CN"/>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住所</w:t>
            </w:r>
          </w:p>
        </w:tc>
        <w:tc>
          <w:tcPr>
            <w:tcW w:w="6968" w:type="dxa"/>
            <w:vAlign w:val="center"/>
          </w:tcPr>
          <w:p>
            <w:pPr>
              <w:tabs>
                <w:tab w:val="left" w:pos="0"/>
              </w:tabs>
              <w:ind w:left="181" w:leftChars="86"/>
              <w:jc w:val="center"/>
              <w:rPr>
                <w:rFonts w:ascii="宋体" w:hAnsi="宋体" w:cs="宋体"/>
                <w:b w:val="0"/>
                <w:bCs w:val="0"/>
                <w:snapToGrid w:val="0"/>
                <w:szCs w:val="21"/>
                <w:highlight w:val="none"/>
              </w:rPr>
            </w:pPr>
            <w:r>
              <w:rPr>
                <w:rFonts w:hint="eastAsia" w:ascii="宋体" w:hAnsi="宋体" w:cs="宋体"/>
                <w:b w:val="0"/>
                <w:bCs w:val="0"/>
                <w:snapToGrid w:val="0"/>
                <w:szCs w:val="21"/>
                <w:highlight w:val="none"/>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highlight w:val="none"/>
              </w:rPr>
            </w:pPr>
            <w:r>
              <w:rPr>
                <w:rFonts w:hint="eastAsia" w:ascii="宋体" w:hAnsi="宋体" w:cs="宋体"/>
                <w:b/>
                <w:bCs/>
                <w:snapToGrid w:val="0"/>
                <w:szCs w:val="21"/>
                <w:highlight w:val="none"/>
              </w:rPr>
              <w:t>客户服务热线</w:t>
            </w:r>
          </w:p>
        </w:tc>
        <w:tc>
          <w:tcPr>
            <w:tcW w:w="6968" w:type="dxa"/>
            <w:vAlign w:val="center"/>
          </w:tcPr>
          <w:p>
            <w:pPr>
              <w:widowControl/>
              <w:tabs>
                <w:tab w:val="left" w:pos="0"/>
              </w:tabs>
              <w:ind w:left="181" w:leftChars="86"/>
              <w:jc w:val="center"/>
              <w:textAlignment w:val="auto"/>
              <w:rPr>
                <w:rFonts w:hint="default" w:ascii="宋体" w:hAnsi="宋体" w:eastAsia="宋体" w:cs="宋体"/>
                <w:b w:val="0"/>
                <w:bCs w:val="0"/>
                <w:snapToGrid w:val="0"/>
                <w:szCs w:val="21"/>
                <w:highlight w:val="none"/>
                <w:lang w:val="en-US" w:eastAsia="zh-CN"/>
              </w:rPr>
            </w:pPr>
            <w:r>
              <w:rPr>
                <w:rFonts w:hint="eastAsia" w:ascii="宋体" w:hAnsi="宋体" w:cs="宋体"/>
                <w:snapToGrid w:val="0"/>
                <w:szCs w:val="21"/>
                <w:highlight w:val="none"/>
              </w:rPr>
              <w:t>95</w:t>
            </w:r>
            <w:r>
              <w:rPr>
                <w:rFonts w:hint="eastAsia" w:ascii="宋体" w:hAnsi="宋体" w:cs="宋体"/>
                <w:snapToGrid w:val="0"/>
                <w:szCs w:val="21"/>
                <w:highlight w:val="none"/>
                <w:lang w:val="en-US" w:eastAsia="zh-CN"/>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1"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官方网站</w:t>
            </w:r>
          </w:p>
        </w:tc>
        <w:tc>
          <w:tcPr>
            <w:tcW w:w="6968" w:type="dxa"/>
            <w:vAlign w:val="center"/>
          </w:tcPr>
          <w:p>
            <w:pPr>
              <w:widowControl/>
              <w:tabs>
                <w:tab w:val="left" w:pos="0"/>
              </w:tabs>
              <w:ind w:left="181" w:leftChars="86"/>
              <w:jc w:val="center"/>
              <w:textAlignment w:val="auto"/>
              <w:rPr>
                <w:rFonts w:ascii="宋体" w:hAnsi="宋体" w:cs="宋体"/>
                <w:b w:val="0"/>
                <w:bCs w:val="0"/>
                <w:snapToGrid w:val="0"/>
                <w:szCs w:val="21"/>
                <w:highlight w:val="none"/>
              </w:rPr>
            </w:pPr>
            <w:r>
              <w:rPr>
                <w:rFonts w:hint="eastAsia" w:ascii="宋体" w:hAnsi="宋体" w:cs="宋体"/>
                <w:snapToGrid w:val="0"/>
                <w:szCs w:val="21"/>
                <w:highlight w:val="none"/>
              </w:rPr>
              <w:t>http://www.citicbank.com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51" w:type="dxa"/>
            <w:vAlign w:val="center"/>
          </w:tcPr>
          <w:p>
            <w:pPr>
              <w:tabs>
                <w:tab w:val="left" w:pos="0"/>
              </w:tabs>
              <w:jc w:val="center"/>
              <w:rPr>
                <w:rFonts w:ascii="宋体" w:hAnsi="宋体" w:cs="宋体"/>
                <w:b/>
                <w:bCs/>
                <w:snapToGrid w:val="0"/>
                <w:szCs w:val="21"/>
                <w:highlight w:val="none"/>
              </w:rPr>
            </w:pPr>
            <w:r>
              <w:rPr>
                <w:rFonts w:hint="eastAsia" w:ascii="宋体" w:hAnsi="宋体" w:cs="宋体"/>
                <w:b/>
                <w:bCs/>
                <w:snapToGrid w:val="0"/>
                <w:szCs w:val="21"/>
                <w:highlight w:val="none"/>
              </w:rPr>
              <w:t>主要职责</w:t>
            </w:r>
          </w:p>
        </w:tc>
        <w:tc>
          <w:tcPr>
            <w:tcW w:w="6968" w:type="dxa"/>
            <w:vAlign w:val="center"/>
          </w:tcPr>
          <w:p>
            <w:pPr>
              <w:tabs>
                <w:tab w:val="left" w:pos="0"/>
              </w:tabs>
              <w:ind w:left="181" w:leftChars="86"/>
              <w:rPr>
                <w:rFonts w:ascii="宋体" w:hAnsi="宋体"/>
                <w:szCs w:val="21"/>
                <w:highlight w:val="none"/>
              </w:rPr>
            </w:pPr>
            <w:r>
              <w:rPr>
                <w:rFonts w:hint="eastAsia" w:ascii="宋体" w:hAnsi="宋体"/>
                <w:szCs w:val="21"/>
                <w:highlight w:val="none"/>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ind w:firstLine="420" w:firstLineChars="200"/>
        <w:outlineLvl w:val="2"/>
        <w:rPr>
          <w:highlight w:val="none"/>
        </w:rPr>
      </w:pPr>
      <w:r>
        <w:rPr>
          <w:rFonts w:hint="eastAsia" w:ascii="宋体" w:hAnsi="宋体" w:cs="宋体"/>
          <w:b w:val="0"/>
          <w:bCs w:val="0"/>
          <w:snapToGrid w:val="0"/>
          <w:szCs w:val="21"/>
          <w:highlight w:val="none"/>
          <w:lang w:val="en-US" w:eastAsia="zh-CN"/>
        </w:rPr>
        <w:t>8.</w:t>
      </w:r>
      <w:r>
        <w:rPr>
          <w:rFonts w:hint="eastAsia" w:ascii="宋体" w:hAnsi="宋体" w:cs="宋体"/>
          <w:b w:val="0"/>
          <w:bCs w:val="0"/>
          <w:snapToGrid w:val="0"/>
          <w:szCs w:val="21"/>
          <w:highlight w:val="none"/>
        </w:rPr>
        <w:t>上海银行股份有限公司</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销售服务机构</w:t>
            </w:r>
          </w:p>
        </w:tc>
        <w:tc>
          <w:tcPr>
            <w:tcW w:w="6600" w:type="dxa"/>
            <w:vAlign w:val="center"/>
          </w:tcPr>
          <w:p>
            <w:pPr>
              <w:jc w:val="center"/>
              <w:rPr>
                <w:highlight w:val="none"/>
              </w:rPr>
            </w:pPr>
            <w:r>
              <w:rPr>
                <w:rFonts w:hint="eastAsia"/>
                <w:highlight w:val="none"/>
              </w:rPr>
              <w:t>上海银行股份有限公司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住所</w:t>
            </w:r>
          </w:p>
        </w:tc>
        <w:tc>
          <w:tcPr>
            <w:tcW w:w="6600" w:type="dxa"/>
            <w:vAlign w:val="center"/>
          </w:tcPr>
          <w:p>
            <w:pPr>
              <w:jc w:val="center"/>
              <w:rPr>
                <w:highlight w:val="none"/>
              </w:rPr>
            </w:pPr>
            <w:r>
              <w:rPr>
                <w:rFonts w:hint="eastAsia"/>
                <w:highlight w:val="none"/>
              </w:rPr>
              <w:t>上海市黄浦区中山南路688号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客户服务热线</w:t>
            </w:r>
          </w:p>
        </w:tc>
        <w:tc>
          <w:tcPr>
            <w:tcW w:w="6600" w:type="dxa"/>
            <w:vAlign w:val="center"/>
          </w:tcPr>
          <w:p>
            <w:pPr>
              <w:jc w:val="center"/>
              <w:rPr>
                <w:rFonts w:hint="default" w:eastAsia="宋体"/>
                <w:highlight w:val="none"/>
                <w:lang w:val="en-US" w:eastAsia="zh-CN"/>
              </w:rPr>
            </w:pPr>
            <w:r>
              <w:rPr>
                <w:rFonts w:hint="default" w:eastAsia="宋体"/>
                <w:highlight w:val="none"/>
                <w:lang w:val="en-US" w:eastAsia="zh-CN"/>
              </w:rPr>
              <w:t>95594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官方网站</w:t>
            </w:r>
          </w:p>
        </w:tc>
        <w:tc>
          <w:tcPr>
            <w:tcW w:w="6600" w:type="dxa"/>
            <w:vAlign w:val="center"/>
          </w:tcPr>
          <w:p>
            <w:pPr>
              <w:jc w:val="center"/>
              <w:rPr>
                <w:highlight w:val="none"/>
              </w:rPr>
            </w:pPr>
            <w:r>
              <w:rPr>
                <w:rFonts w:hint="eastAsia"/>
                <w:highlight w:val="none"/>
              </w:rPr>
              <w:t>https://www.bosc.cn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jc w:val="center"/>
              <w:rPr>
                <w:highlight w:val="none"/>
              </w:rPr>
            </w:pPr>
            <w:r>
              <w:rPr>
                <w:rFonts w:ascii="宋体" w:hAnsi="宋体" w:eastAsia="宋体" w:cs="宋体"/>
                <w:b/>
                <w:highlight w:val="none"/>
              </w:rPr>
              <w:t>主要职责</w:t>
            </w:r>
          </w:p>
        </w:tc>
        <w:tc>
          <w:tcPr>
            <w:tcW w:w="6600" w:type="dxa"/>
            <w:vAlign w:val="center"/>
          </w:tcPr>
          <w:p>
            <w:pPr>
              <w:jc w:val="left"/>
              <w:rPr>
                <w:highlight w:val="none"/>
              </w:rPr>
            </w:pPr>
            <w:r>
              <w:rPr>
                <w:rFonts w:ascii="宋体" w:hAnsi="宋体" w:eastAsia="宋体" w:cs="宋体"/>
                <w:b w:val="0"/>
                <w:highlight w:val="none"/>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tabs>
          <w:tab w:val="left" w:pos="0"/>
        </w:tabs>
        <w:spacing w:line="360" w:lineRule="auto"/>
        <w:ind w:firstLine="420" w:firstLineChars="200"/>
        <w:outlineLvl w:val="2"/>
        <w:rPr>
          <w:rFonts w:hint="eastAsia" w:ascii="宋体" w:hAnsi="宋体" w:cs="宋体"/>
          <w:szCs w:val="21"/>
          <w:lang w:val="en-US" w:eastAsia="zh-CN"/>
        </w:rPr>
      </w:pP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兴业银行股份有限公司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销售服务机构</w:t>
            </w:r>
          </w:p>
        </w:tc>
        <w:tc>
          <w:tcPr>
            <w:tcW w:w="6968"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szCs w:val="21"/>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住所</w:t>
            </w:r>
          </w:p>
        </w:tc>
        <w:tc>
          <w:tcPr>
            <w:tcW w:w="6968" w:type="dxa"/>
            <w:vAlign w:val="center"/>
          </w:tcPr>
          <w:p>
            <w:pPr>
              <w:tabs>
                <w:tab w:val="left" w:pos="0"/>
              </w:tabs>
              <w:ind w:left="181" w:leftChars="86"/>
              <w:jc w:val="center"/>
              <w:rPr>
                <w:rFonts w:ascii="宋体" w:hAnsi="宋体" w:cs="宋体"/>
                <w:snapToGrid w:val="0"/>
                <w:szCs w:val="21"/>
              </w:rPr>
            </w:pPr>
            <w:r>
              <w:rPr>
                <w:rFonts w:hint="eastAsia" w:ascii="宋体" w:hAnsi="宋体" w:cs="宋体"/>
                <w:snapToGrid w:val="0"/>
                <w:szCs w:val="21"/>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客户服务热线</w:t>
            </w:r>
          </w:p>
        </w:tc>
        <w:tc>
          <w:tcPr>
            <w:tcW w:w="6968" w:type="dxa"/>
            <w:vAlign w:val="center"/>
          </w:tcPr>
          <w:p>
            <w:pPr>
              <w:widowControl/>
              <w:tabs>
                <w:tab w:val="left" w:pos="0"/>
              </w:tabs>
              <w:ind w:left="181" w:leftChars="86"/>
              <w:jc w:val="center"/>
              <w:textAlignment w:val="auto"/>
              <w:rPr>
                <w:rFonts w:hint="eastAsia" w:ascii="宋体" w:hAnsi="宋体" w:cs="宋体"/>
                <w:snapToGrid w:val="0"/>
                <w:szCs w:val="21"/>
                <w:lang w:val="en-US"/>
              </w:rPr>
            </w:pPr>
            <w:r>
              <w:rPr>
                <w:rFonts w:hint="eastAsia" w:ascii="宋体" w:hAnsi="宋体" w:eastAsia="宋体" w:cs="宋体"/>
                <w:snapToGrid w:val="0"/>
                <w:sz w:val="21"/>
                <w:szCs w:val="21"/>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官方网站</w:t>
            </w:r>
          </w:p>
        </w:tc>
        <w:tc>
          <w:tcPr>
            <w:tcW w:w="6968" w:type="dxa"/>
            <w:vAlign w:val="center"/>
          </w:tcPr>
          <w:p>
            <w:pPr>
              <w:widowControl/>
              <w:tabs>
                <w:tab w:val="left" w:pos="0"/>
              </w:tabs>
              <w:ind w:left="181" w:leftChars="86"/>
              <w:jc w:val="center"/>
              <w:textAlignment w:val="auto"/>
              <w:rPr>
                <w:rFonts w:ascii="宋体" w:hAnsi="宋体" w:cs="宋体"/>
                <w:snapToGrid w:val="0"/>
                <w:szCs w:val="21"/>
              </w:rPr>
            </w:pPr>
            <w:r>
              <w:rPr>
                <w:rFonts w:hint="eastAsia" w:ascii="宋体" w:hAnsi="宋体" w:eastAsia="宋体" w:cs="宋体"/>
                <w:snapToGrid w:val="0"/>
                <w:sz w:val="21"/>
                <w:szCs w:val="21"/>
              </w:rPr>
              <w:t>https://www.cib.com.cn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主要职责</w:t>
            </w:r>
          </w:p>
        </w:tc>
        <w:tc>
          <w:tcPr>
            <w:tcW w:w="6968" w:type="dxa"/>
            <w:vAlign w:val="center"/>
          </w:tcPr>
          <w:p>
            <w:pPr>
              <w:tabs>
                <w:tab w:val="left" w:pos="0"/>
              </w:tabs>
              <w:ind w:left="181" w:leftChars="86"/>
              <w:rPr>
                <w:rFonts w:ascii="宋体" w:hAnsi="宋体"/>
                <w:szCs w:val="21"/>
              </w:rPr>
            </w:pPr>
            <w:r>
              <w:rPr>
                <w:rFonts w:hint="eastAsia" w:ascii="宋体" w:hAnsi="宋体"/>
                <w:szCs w:val="21"/>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投资者沟通及进行信息披露、接受投资者咨询和客户维护等销售服务。</w:t>
            </w:r>
          </w:p>
        </w:tc>
      </w:tr>
    </w:tbl>
    <w:p>
      <w:pPr>
        <w:tabs>
          <w:tab w:val="left" w:pos="0"/>
        </w:tabs>
        <w:spacing w:line="360" w:lineRule="auto"/>
        <w:ind w:firstLine="420" w:firstLineChars="200"/>
        <w:outlineLvl w:val="2"/>
        <w:rPr>
          <w:rFonts w:hint="eastAsia" w:ascii="宋体" w:hAnsi="宋体" w:cs="宋体"/>
          <w:szCs w:val="21"/>
          <w:lang w:val="en-US" w:eastAsia="zh-CN"/>
        </w:rPr>
      </w:pP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山西银行股份有限公司</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销售服务机构</w:t>
            </w:r>
          </w:p>
        </w:tc>
        <w:tc>
          <w:tcPr>
            <w:tcW w:w="6968"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szCs w:val="21"/>
                <w:lang w:val="en-US" w:eastAsia="zh-CN"/>
              </w:rPr>
              <w:t>山西银行股份有限公司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住所</w:t>
            </w:r>
          </w:p>
        </w:tc>
        <w:tc>
          <w:tcPr>
            <w:tcW w:w="6968" w:type="dxa"/>
            <w:vAlign w:val="center"/>
          </w:tcPr>
          <w:p>
            <w:pPr>
              <w:tabs>
                <w:tab w:val="left" w:pos="0"/>
              </w:tabs>
              <w:ind w:left="181" w:leftChars="86"/>
              <w:jc w:val="center"/>
              <w:rPr>
                <w:rFonts w:ascii="宋体" w:hAnsi="宋体" w:cs="宋体"/>
                <w:snapToGrid w:val="0"/>
                <w:szCs w:val="21"/>
              </w:rPr>
            </w:pPr>
            <w:r>
              <w:rPr>
                <w:rFonts w:hint="eastAsia" w:ascii="宋体" w:hAnsi="宋体" w:cs="宋体"/>
                <w:snapToGrid w:val="0"/>
                <w:szCs w:val="21"/>
              </w:rPr>
              <w:t>山西转型综合改革示范区学府产业园高新街15号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ind w:left="181" w:leftChars="86"/>
              <w:jc w:val="center"/>
              <w:rPr>
                <w:rFonts w:ascii="宋体" w:hAnsi="宋体" w:cs="宋体"/>
                <w:b/>
                <w:bCs/>
                <w:snapToGrid w:val="0"/>
                <w:szCs w:val="21"/>
              </w:rPr>
            </w:pPr>
            <w:r>
              <w:rPr>
                <w:rFonts w:hint="eastAsia" w:ascii="宋体" w:hAnsi="宋体" w:cs="宋体"/>
                <w:b/>
                <w:bCs/>
                <w:snapToGrid w:val="0"/>
                <w:szCs w:val="21"/>
              </w:rPr>
              <w:t>客户服务热线</w:t>
            </w:r>
          </w:p>
        </w:tc>
        <w:tc>
          <w:tcPr>
            <w:tcW w:w="6968" w:type="dxa"/>
            <w:vAlign w:val="center"/>
          </w:tcPr>
          <w:p>
            <w:pPr>
              <w:widowControl/>
              <w:tabs>
                <w:tab w:val="left" w:pos="0"/>
              </w:tabs>
              <w:ind w:left="181" w:leftChars="86"/>
              <w:jc w:val="center"/>
              <w:textAlignment w:val="auto"/>
              <w:rPr>
                <w:rFonts w:hint="eastAsia" w:ascii="宋体" w:hAnsi="宋体" w:cs="宋体"/>
                <w:snapToGrid w:val="0"/>
                <w:szCs w:val="21"/>
                <w:lang w:val="en-US"/>
              </w:rPr>
            </w:pPr>
            <w:r>
              <w:rPr>
                <w:rFonts w:hint="eastAsia" w:ascii="宋体" w:hAnsi="宋体" w:eastAsia="宋体" w:cs="宋体"/>
                <w:snapToGrid w:val="0"/>
                <w:sz w:val="21"/>
                <w:szCs w:val="21"/>
              </w:rPr>
              <w:t>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官方网站</w:t>
            </w:r>
          </w:p>
        </w:tc>
        <w:tc>
          <w:tcPr>
            <w:tcW w:w="6968" w:type="dxa"/>
            <w:vAlign w:val="center"/>
          </w:tcPr>
          <w:p>
            <w:pPr>
              <w:widowControl/>
              <w:tabs>
                <w:tab w:val="left" w:pos="0"/>
              </w:tabs>
              <w:ind w:left="181" w:leftChars="86"/>
              <w:jc w:val="center"/>
              <w:textAlignment w:val="auto"/>
              <w:rPr>
                <w:rFonts w:ascii="宋体" w:hAnsi="宋体" w:cs="宋体"/>
                <w:snapToGrid w:val="0"/>
                <w:szCs w:val="21"/>
              </w:rPr>
            </w:pPr>
            <w:r>
              <w:rPr>
                <w:rFonts w:hint="eastAsia" w:ascii="宋体" w:hAnsi="宋体" w:eastAsia="宋体" w:cs="宋体"/>
                <w:snapToGrid w:val="0"/>
                <w:sz w:val="21"/>
                <w:szCs w:val="21"/>
              </w:rPr>
              <w:t>https://www.shxibank.com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51" w:type="dxa"/>
            <w:vAlign w:val="center"/>
          </w:tcPr>
          <w:p>
            <w:pPr>
              <w:tabs>
                <w:tab w:val="left" w:pos="0"/>
              </w:tabs>
              <w:jc w:val="center"/>
              <w:rPr>
                <w:rFonts w:ascii="宋体" w:hAnsi="宋体" w:cs="宋体"/>
                <w:b/>
                <w:bCs/>
                <w:snapToGrid w:val="0"/>
                <w:szCs w:val="21"/>
              </w:rPr>
            </w:pPr>
            <w:r>
              <w:rPr>
                <w:rFonts w:hint="eastAsia" w:ascii="宋体" w:hAnsi="宋体" w:cs="宋体"/>
                <w:b/>
                <w:bCs/>
                <w:snapToGrid w:val="0"/>
                <w:szCs w:val="21"/>
              </w:rPr>
              <w:t>主要职责</w:t>
            </w:r>
          </w:p>
        </w:tc>
        <w:tc>
          <w:tcPr>
            <w:tcW w:w="6968" w:type="dxa"/>
            <w:vAlign w:val="center"/>
          </w:tcPr>
          <w:p>
            <w:pPr>
              <w:tabs>
                <w:tab w:val="left" w:pos="0"/>
              </w:tabs>
              <w:ind w:left="181" w:leftChars="86"/>
              <w:rPr>
                <w:rFonts w:ascii="宋体" w:hAnsi="宋体"/>
                <w:szCs w:val="21"/>
              </w:rPr>
            </w:pPr>
            <w:r>
              <w:rPr>
                <w:rFonts w:hint="eastAsia" w:ascii="宋体" w:hAnsi="宋体"/>
                <w:szCs w:val="21"/>
              </w:rPr>
              <w:t>理财产品宣传推广、投资者风险承受能力评估和投资者适当性管理、理财产品份额认购/申购/赎回、配合管理人进行理财产品客户身份识别及反洗钱、反恐怖融资及非居民金融账户涉税信息调查、协助管理人与投资者订立理财产品销售文件、协助管理人与</w:t>
            </w:r>
            <w:bookmarkStart w:id="20" w:name="_GoBack"/>
            <w:bookmarkEnd w:id="20"/>
            <w:r>
              <w:rPr>
                <w:rFonts w:hint="eastAsia" w:ascii="宋体" w:hAnsi="宋体"/>
                <w:szCs w:val="21"/>
              </w:rPr>
              <w:t>投资者沟通及进行信息披露、接受投资者咨询和客户维护等销售服务。</w:t>
            </w:r>
          </w:p>
        </w:tc>
      </w:tr>
    </w:tbl>
    <w:p>
      <w:pPr>
        <w:tabs>
          <w:tab w:val="left" w:pos="0"/>
        </w:tabs>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（二）认购</w:t>
      </w:r>
    </w:p>
    <w:p>
      <w:pPr>
        <w:tabs>
          <w:tab w:val="left" w:pos="0"/>
        </w:tabs>
        <w:spacing w:line="360" w:lineRule="auto"/>
        <w:ind w:firstLine="420" w:firstLineChars="200"/>
        <w:rPr>
          <w:rFonts w:ascii="宋体" w:hAnsi="宋体" w:cs="宋体"/>
          <w:szCs w:val="21"/>
        </w:rPr>
      </w:pPr>
      <w:r>
        <w:rPr>
          <w:rFonts w:ascii="宋体" w:hAnsi="宋体" w:cs="宋体"/>
          <w:szCs w:val="21"/>
        </w:rPr>
        <w:t>1.认购指投资者在募集期</w:t>
      </w:r>
      <w:r>
        <w:rPr>
          <w:rFonts w:hint="eastAsia" w:ascii="宋体" w:hAnsi="宋体" w:cs="宋体"/>
          <w:szCs w:val="21"/>
        </w:rPr>
        <w:t>交易时间内进行</w:t>
      </w:r>
      <w:r>
        <w:rPr>
          <w:rFonts w:ascii="宋体" w:hAnsi="宋体" w:cs="宋体"/>
          <w:szCs w:val="21"/>
        </w:rPr>
        <w:t>的购买行为。产品募集期为</w:t>
      </w:r>
      <w:r>
        <w:rPr>
          <w:rFonts w:hint="eastAsia" w:ascii="宋体" w:hAnsi="宋体" w:cs="宋体"/>
          <w:szCs w:val="21"/>
          <w:lang w:eastAsia="zh-CN"/>
        </w:rPr>
        <w:t>2024年12月4日至2024年12月5日</w:t>
      </w:r>
      <w:r>
        <w:rPr>
          <w:rFonts w:hint="eastAsia" w:ascii="宋体" w:hAnsi="宋体" w:cs="宋体"/>
          <w:szCs w:val="21"/>
        </w:rPr>
        <w:t>，管理人有权根据募集情况缩短或延长产品募集期，本产品最长募集期不超过</w:t>
      </w:r>
      <w:r>
        <w:rPr>
          <w:rFonts w:ascii="宋体" w:hAnsi="宋体" w:cs="宋体"/>
          <w:szCs w:val="21"/>
        </w:rPr>
        <w:t>1个月。管理人有权根据实际募集期提前或延后产品成立日期，并将通过</w:t>
      </w:r>
      <w:r>
        <w:rPr>
          <w:rFonts w:hint="eastAsia" w:ascii="宋体" w:hAnsi="宋体" w:cs="宋体"/>
          <w:bCs/>
          <w:szCs w:val="21"/>
        </w:rPr>
        <w:t>产品管理人官方网站或销售服务机构网上销售平台</w:t>
      </w:r>
      <w:r>
        <w:rPr>
          <w:rFonts w:hint="eastAsia" w:ascii="宋体" w:hAnsi="宋体" w:cs="宋体"/>
          <w:szCs w:val="21"/>
        </w:rPr>
        <w:t>进行公布。具体销售服务机构实际受理时间，以销售服务机构规则为准。</w:t>
      </w:r>
    </w:p>
    <w:p>
      <w:pPr>
        <w:tabs>
          <w:tab w:val="left" w:pos="420"/>
          <w:tab w:val="left" w:pos="720"/>
        </w:tabs>
        <w:spacing w:line="360" w:lineRule="auto"/>
        <w:ind w:firstLine="422" w:firstLineChars="200"/>
        <w:rPr>
          <w:rFonts w:ascii="宋体" w:hAnsi="宋体" w:cs="宋体"/>
          <w:szCs w:val="21"/>
        </w:rPr>
      </w:pPr>
      <w:r>
        <w:rPr>
          <w:rFonts w:ascii="宋体" w:hAnsi="宋体" w:cs="宋体"/>
          <w:b/>
          <w:bCs/>
          <w:snapToGrid w:val="0"/>
          <w:szCs w:val="21"/>
        </w:rPr>
        <w:t>2.认购费用：</w:t>
      </w:r>
      <w:r>
        <w:rPr>
          <w:rFonts w:hint="eastAsia" w:ascii="宋体" w:hAnsi="宋体" w:cs="宋体"/>
          <w:szCs w:val="21"/>
        </w:rPr>
        <w:t>本产品免认购费，产品认购时以单位份额净值</w:t>
      </w:r>
      <w:r>
        <w:rPr>
          <w:rFonts w:ascii="宋体" w:hAnsi="宋体" w:cs="宋体"/>
          <w:szCs w:val="21"/>
        </w:rPr>
        <w:t>1.0000元/份为基准进行认购。</w:t>
      </w:r>
    </w:p>
    <w:p>
      <w:pPr>
        <w:tabs>
          <w:tab w:val="left" w:pos="0"/>
        </w:tabs>
        <w:spacing w:line="360" w:lineRule="auto"/>
        <w:ind w:firstLine="422" w:firstLineChars="200"/>
        <w:rPr>
          <w:rFonts w:ascii="宋体" w:hAnsi="宋体" w:cs="宋体"/>
          <w:szCs w:val="21"/>
        </w:rPr>
      </w:pPr>
      <w:r>
        <w:rPr>
          <w:rFonts w:ascii="宋体" w:hAnsi="宋体" w:cs="宋体"/>
          <w:b/>
          <w:bCs/>
          <w:snapToGrid w:val="0"/>
          <w:szCs w:val="21"/>
        </w:rPr>
        <w:t>3.认购份额：</w:t>
      </w:r>
      <w:r>
        <w:rPr>
          <w:rFonts w:hint="eastAsia" w:ascii="宋体" w:hAnsi="宋体" w:cs="宋体"/>
          <w:szCs w:val="21"/>
        </w:rPr>
        <w:t>本产品采用金额认购方法，认购时计算方法如下：</w:t>
      </w:r>
    </w:p>
    <w:p>
      <w:pPr>
        <w:tabs>
          <w:tab w:val="left" w:pos="0"/>
        </w:tabs>
        <w:spacing w:line="360" w:lineRule="auto"/>
        <w:ind w:firstLine="420" w:firstLineChars="200"/>
        <w:rPr>
          <w:rFonts w:ascii="宋体" w:hAnsi="宋体" w:cs="宋体"/>
          <w:szCs w:val="21"/>
        </w:rPr>
      </w:pPr>
      <w:r>
        <w:rPr>
          <w:rFonts w:hint="eastAsia" w:ascii="宋体" w:hAnsi="宋体" w:cs="宋体"/>
          <w:szCs w:val="21"/>
        </w:rPr>
        <w:t>净认购金额</w:t>
      </w:r>
      <w:r>
        <w:rPr>
          <w:rFonts w:ascii="宋体" w:hAnsi="宋体" w:cs="宋体"/>
          <w:szCs w:val="21"/>
        </w:rPr>
        <w:t>=认购金额/</w:t>
      </w:r>
      <w:r>
        <w:rPr>
          <w:rFonts w:hint="eastAsia" w:ascii="宋体" w:hAnsi="宋体" w:cs="宋体"/>
          <w:szCs w:val="21"/>
        </w:rPr>
        <w:t>（</w:t>
      </w:r>
      <w:r>
        <w:rPr>
          <w:rFonts w:ascii="宋体" w:hAnsi="宋体" w:cs="宋体"/>
          <w:szCs w:val="21"/>
        </w:rPr>
        <w:t>1+认购费率</w:t>
      </w:r>
      <w:r>
        <w:rPr>
          <w:rFonts w:hint="eastAsia" w:ascii="宋体" w:hAnsi="宋体" w:cs="宋体"/>
          <w:szCs w:val="21"/>
        </w:rPr>
        <w:t>）</w:t>
      </w:r>
    </w:p>
    <w:p>
      <w:pPr>
        <w:tabs>
          <w:tab w:val="left" w:pos="0"/>
        </w:tabs>
        <w:spacing w:line="360" w:lineRule="auto"/>
        <w:ind w:firstLine="420" w:firstLineChars="200"/>
        <w:rPr>
          <w:rFonts w:ascii="宋体" w:hAnsi="宋体" w:cs="宋体"/>
          <w:szCs w:val="21"/>
        </w:rPr>
      </w:pPr>
      <w:r>
        <w:rPr>
          <w:rFonts w:hint="eastAsia" w:ascii="宋体" w:hAnsi="宋体" w:cs="宋体"/>
          <w:szCs w:val="21"/>
        </w:rPr>
        <w:t>认购费用＝净认购金额×认购费率</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认购份额＝净认购金额</w:t>
      </w:r>
      <w:r>
        <w:rPr>
          <w:rFonts w:ascii="宋体" w:hAnsi="宋体" w:cs="宋体"/>
          <w:snapToGrid w:val="0"/>
          <w:szCs w:val="21"/>
        </w:rPr>
        <w:t>/产品单位份额面值</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认购份额、净认购金额、认购费用以四舍五入的方法保留到小数点后两位。</w:t>
      </w:r>
    </w:p>
    <w:p>
      <w:pPr>
        <w:tabs>
          <w:tab w:val="left" w:pos="420"/>
          <w:tab w:val="left" w:pos="720"/>
        </w:tabs>
        <w:spacing w:line="360" w:lineRule="auto"/>
        <w:ind w:firstLine="422" w:firstLineChars="200"/>
        <w:rPr>
          <w:rFonts w:ascii="宋体" w:hAnsi="宋体" w:cs="宋体"/>
          <w:snapToGrid w:val="0"/>
          <w:szCs w:val="21"/>
        </w:rPr>
      </w:pPr>
      <w:r>
        <w:rPr>
          <w:rFonts w:ascii="宋体" w:hAnsi="宋体" w:cs="宋体"/>
          <w:b/>
          <w:bCs/>
          <w:snapToGrid w:val="0"/>
          <w:szCs w:val="21"/>
        </w:rPr>
        <w:t>4.认购金额：</w:t>
      </w:r>
      <w:r>
        <w:rPr>
          <w:rFonts w:hint="eastAsia" w:ascii="宋体" w:hAnsi="宋体" w:cs="宋体"/>
          <w:snapToGrid w:val="0"/>
          <w:szCs w:val="21"/>
        </w:rPr>
        <w:t>投资者在募集期内可以多次认购，其中：</w:t>
      </w:r>
    </w:p>
    <w:p>
      <w:pPr>
        <w:tabs>
          <w:tab w:val="left" w:pos="420"/>
          <w:tab w:val="left" w:pos="7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val="en-US" w:eastAsia="zh-CN" w:bidi="bn-IN"/>
        </w:rPr>
        <w:t>D</w:t>
      </w:r>
      <w:r>
        <w:rPr>
          <w:rFonts w:hint="eastAsia" w:ascii="宋体" w:hAnsi="宋体" w:cs="宋体"/>
          <w:bCs/>
          <w:kern w:val="0"/>
          <w:szCs w:val="21"/>
          <w:lang w:bidi="bn-IN"/>
        </w:rPr>
        <w:t>类</w:t>
      </w:r>
      <w:r>
        <w:rPr>
          <w:rFonts w:hint="eastAsia" w:ascii="宋体" w:hAnsi="宋体" w:cs="宋体"/>
          <w:bCs/>
          <w:kern w:val="0"/>
          <w:szCs w:val="21"/>
          <w:lang w:eastAsia="zh-CN" w:bidi="bn-IN"/>
        </w:rPr>
        <w:t>、</w:t>
      </w:r>
      <w:r>
        <w:rPr>
          <w:rFonts w:hint="eastAsia" w:ascii="宋体" w:hAnsi="宋体" w:cs="宋体"/>
          <w:bCs/>
          <w:kern w:val="0"/>
          <w:szCs w:val="21"/>
          <w:lang w:val="en-US" w:eastAsia="zh-CN" w:bidi="bn-IN"/>
        </w:rPr>
        <w:t>H类</w:t>
      </w:r>
      <w:r>
        <w:rPr>
          <w:rFonts w:hint="eastAsia" w:ascii="宋体" w:hAnsi="宋体" w:cs="宋体"/>
          <w:bCs/>
          <w:kern w:val="0"/>
          <w:szCs w:val="21"/>
          <w:lang w:bidi="bn-IN"/>
        </w:rPr>
        <w:t>份额的初次认购金额</w:t>
      </w:r>
      <w:r>
        <w:rPr>
          <w:rFonts w:hint="eastAsia" w:ascii="宋体" w:hAnsi="宋体" w:cs="宋体"/>
          <w:bCs/>
          <w:kern w:val="0"/>
          <w:szCs w:val="21"/>
          <w:lang w:val="en-US" w:eastAsia="zh-CN" w:bidi="bn-IN"/>
        </w:rPr>
        <w:t>均</w:t>
      </w:r>
      <w:r>
        <w:rPr>
          <w:rFonts w:hint="eastAsia" w:ascii="宋体" w:hAnsi="宋体" w:cs="宋体"/>
          <w:bCs/>
          <w:kern w:val="0"/>
          <w:szCs w:val="21"/>
          <w:lang w:bidi="bn-IN"/>
        </w:rPr>
        <w:t>不低于人民币1元，后续单笔认购金额须高于人民币1元，且为1元的整数倍。</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如投资者在认购期内多次认购，则认购费用按合并金额的费率分笔计算。</w:t>
      </w:r>
    </w:p>
    <w:p>
      <w:pPr>
        <w:tabs>
          <w:tab w:val="left" w:pos="420"/>
          <w:tab w:val="left" w:pos="720"/>
        </w:tabs>
        <w:spacing w:line="360" w:lineRule="auto"/>
        <w:ind w:firstLine="422" w:firstLineChars="200"/>
        <w:rPr>
          <w:rFonts w:ascii="宋体" w:hAnsi="宋体" w:cs="宋体"/>
          <w:snapToGrid w:val="0"/>
          <w:szCs w:val="21"/>
        </w:rPr>
      </w:pPr>
      <w:r>
        <w:rPr>
          <w:rFonts w:ascii="宋体" w:hAnsi="宋体" w:cs="宋体"/>
          <w:b/>
          <w:bCs/>
          <w:snapToGrid w:val="0"/>
          <w:szCs w:val="21"/>
        </w:rPr>
        <w:t>5.认购确认：</w:t>
      </w:r>
      <w:r>
        <w:rPr>
          <w:rFonts w:hint="eastAsia" w:ascii="宋体" w:hAnsi="宋体" w:cs="宋体"/>
          <w:snapToGrid w:val="0"/>
          <w:szCs w:val="21"/>
        </w:rPr>
        <w:t>销售服务机构受理认购申请并不代表对该申请成功的确认，而仅代表其收到了认购申请，申请是否成功应以管理人的确认为准。本产品认购份额确认日为本产品成立日。</w:t>
      </w:r>
    </w:p>
    <w:p>
      <w:pPr>
        <w:tabs>
          <w:tab w:val="left" w:pos="420"/>
          <w:tab w:val="left" w:pos="720"/>
        </w:tabs>
        <w:spacing w:line="360" w:lineRule="auto"/>
        <w:ind w:firstLine="422" w:firstLineChars="200"/>
        <w:rPr>
          <w:rFonts w:ascii="宋体" w:hAnsi="宋体" w:cs="宋体"/>
          <w:snapToGrid w:val="0"/>
          <w:szCs w:val="21"/>
        </w:rPr>
      </w:pPr>
      <w:r>
        <w:rPr>
          <w:rFonts w:ascii="宋体" w:hAnsi="宋体" w:cs="宋体"/>
          <w:b/>
          <w:bCs/>
          <w:snapToGrid w:val="0"/>
          <w:szCs w:val="21"/>
        </w:rPr>
        <w:t>6.认购撤销：</w:t>
      </w:r>
      <w:r>
        <w:rPr>
          <w:rFonts w:hint="eastAsia" w:ascii="宋体" w:hAnsi="宋体" w:cs="宋体"/>
          <w:snapToGrid w:val="0"/>
          <w:szCs w:val="21"/>
        </w:rPr>
        <w:t>认购期内，投资者可以撤销其已提交的认购申请，具体请以销售服务机构规定为准。已经由管理人处理并确认的认购申请不得撤销。</w:t>
      </w:r>
    </w:p>
    <w:p>
      <w:pPr>
        <w:tabs>
          <w:tab w:val="left" w:pos="0"/>
        </w:tabs>
        <w:spacing w:line="360" w:lineRule="auto"/>
        <w:ind w:firstLine="422" w:firstLineChars="200"/>
        <w:rPr>
          <w:rFonts w:ascii="宋体" w:hAnsi="宋体" w:cs="宋体"/>
          <w:b/>
          <w:kern w:val="0"/>
          <w:szCs w:val="21"/>
        </w:rPr>
      </w:pPr>
      <w:r>
        <w:rPr>
          <w:rFonts w:ascii="宋体" w:hAnsi="宋体" w:cs="宋体"/>
          <w:b/>
          <w:kern w:val="0"/>
          <w:szCs w:val="21"/>
        </w:rPr>
        <w:t>7.拒绝或暂停接受认购的情形及处理</w:t>
      </w:r>
    </w:p>
    <w:p>
      <w:pPr>
        <w:tabs>
          <w:tab w:val="left" w:pos="0"/>
        </w:tabs>
        <w:spacing w:line="360" w:lineRule="auto"/>
        <w:ind w:firstLine="420" w:firstLineChars="200"/>
        <w:rPr>
          <w:rFonts w:ascii="宋体" w:hAnsi="宋体" w:cs="宋体"/>
          <w:szCs w:val="21"/>
        </w:rPr>
      </w:pPr>
      <w:r>
        <w:rPr>
          <w:rFonts w:ascii="宋体" w:hAnsi="宋体" w:cs="宋体"/>
          <w:szCs w:val="21"/>
        </w:rPr>
        <w:t>除下列情形外，管理人不得拒绝接受或暂停接受投资者的认购申请：</w:t>
      </w:r>
    </w:p>
    <w:p>
      <w:pPr>
        <w:tabs>
          <w:tab w:val="left" w:pos="0"/>
        </w:tabs>
        <w:spacing w:line="360" w:lineRule="auto"/>
        <w:ind w:firstLine="420" w:firstLineChars="200"/>
        <w:rPr>
          <w:rFonts w:ascii="宋体" w:hAnsi="宋体" w:cs="宋体"/>
          <w:szCs w:val="21"/>
        </w:rPr>
      </w:pPr>
      <w:r>
        <w:rPr>
          <w:rFonts w:hint="eastAsia" w:ascii="宋体" w:hAnsi="宋体" w:cs="宋体"/>
          <w:szCs w:val="21"/>
        </w:rPr>
        <w:t>①不可抗力的原因导致产品无法正常成立；</w:t>
      </w:r>
    </w:p>
    <w:p>
      <w:pPr>
        <w:tabs>
          <w:tab w:val="left" w:pos="0"/>
        </w:tabs>
        <w:spacing w:line="360" w:lineRule="auto"/>
        <w:ind w:firstLine="420" w:firstLineChars="200"/>
        <w:rPr>
          <w:rFonts w:ascii="宋体" w:hAnsi="宋体" w:cs="宋体"/>
          <w:szCs w:val="21"/>
        </w:rPr>
      </w:pPr>
      <w:r>
        <w:rPr>
          <w:rFonts w:hint="eastAsia" w:ascii="宋体" w:hAnsi="宋体" w:cs="宋体"/>
          <w:szCs w:val="21"/>
        </w:rPr>
        <w:t>②超过产品募集规模上限；</w:t>
      </w:r>
    </w:p>
    <w:p>
      <w:pPr>
        <w:tabs>
          <w:tab w:val="left" w:pos="0"/>
        </w:tabs>
        <w:spacing w:line="360" w:lineRule="auto"/>
        <w:ind w:firstLine="420" w:firstLineChars="200"/>
        <w:rPr>
          <w:rFonts w:ascii="宋体" w:hAnsi="宋体" w:cs="宋体"/>
          <w:szCs w:val="21"/>
        </w:rPr>
      </w:pPr>
      <w:r>
        <w:rPr>
          <w:rFonts w:hint="eastAsia" w:ascii="宋体" w:hAnsi="宋体" w:cs="宋体"/>
          <w:szCs w:val="21"/>
        </w:rPr>
        <w:t>③投资者认购超过个人</w:t>
      </w:r>
      <w:r>
        <w:rPr>
          <w:rFonts w:ascii="宋体" w:hAnsi="宋体" w:cs="宋体"/>
          <w:szCs w:val="21"/>
        </w:rPr>
        <w:t>/机构投资者持有上限；</w:t>
      </w:r>
    </w:p>
    <w:p>
      <w:pPr>
        <w:tabs>
          <w:tab w:val="left" w:pos="0"/>
        </w:tabs>
        <w:spacing w:line="360" w:lineRule="auto"/>
        <w:ind w:firstLine="420" w:firstLineChars="200"/>
        <w:rPr>
          <w:rFonts w:ascii="宋体" w:hAnsi="宋体" w:cs="宋体"/>
          <w:szCs w:val="21"/>
        </w:rPr>
      </w:pPr>
      <w:r>
        <w:rPr>
          <w:rFonts w:hint="eastAsia" w:ascii="宋体" w:hAnsi="宋体" w:cs="宋体"/>
          <w:szCs w:val="21"/>
        </w:rPr>
        <w:t>④当产品管理人认为某笔认购申请会有损于其他产品份额持有人利益时，可拒绝该笔认购申请；</w:t>
      </w:r>
    </w:p>
    <w:p>
      <w:pPr>
        <w:tabs>
          <w:tab w:val="left" w:pos="0"/>
        </w:tabs>
        <w:spacing w:line="360" w:lineRule="auto"/>
        <w:ind w:firstLine="420" w:firstLineChars="200"/>
        <w:rPr>
          <w:rFonts w:ascii="宋体" w:hAnsi="宋体" w:cs="宋体"/>
          <w:szCs w:val="21"/>
        </w:rPr>
      </w:pPr>
      <w:r>
        <w:rPr>
          <w:rFonts w:hint="eastAsia" w:ascii="宋体" w:hAnsi="宋体" w:cs="宋体"/>
          <w:szCs w:val="21"/>
        </w:rPr>
        <w:t>⑤法律、法规规定认定的其他情形。</w:t>
      </w:r>
    </w:p>
    <w:p>
      <w:pPr>
        <w:tabs>
          <w:tab w:val="left" w:pos="0"/>
        </w:tabs>
        <w:spacing w:line="360" w:lineRule="auto"/>
        <w:ind w:firstLine="420" w:firstLineChars="200"/>
        <w:rPr>
          <w:rFonts w:ascii="宋体" w:hAnsi="宋体" w:cs="宋体"/>
          <w:szCs w:val="21"/>
        </w:rPr>
      </w:pPr>
      <w:r>
        <w:rPr>
          <w:rFonts w:hint="eastAsia" w:ascii="宋体" w:hAnsi="宋体" w:cs="宋体"/>
          <w:szCs w:val="21"/>
        </w:rPr>
        <w:t>如果投资者的</w:t>
      </w:r>
      <w:r>
        <w:rPr>
          <w:rFonts w:ascii="宋体" w:hAnsi="宋体" w:cs="宋体"/>
          <w:szCs w:val="21"/>
        </w:rPr>
        <w:t>认</w:t>
      </w:r>
      <w:r>
        <w:rPr>
          <w:rFonts w:hint="eastAsia" w:ascii="宋体" w:hAnsi="宋体" w:cs="宋体"/>
          <w:szCs w:val="21"/>
        </w:rPr>
        <w:t>购申请被拒绝，被拒绝的</w:t>
      </w:r>
      <w:r>
        <w:rPr>
          <w:rFonts w:ascii="宋体" w:hAnsi="宋体" w:cs="宋体"/>
          <w:szCs w:val="21"/>
        </w:rPr>
        <w:t>认</w:t>
      </w:r>
      <w:r>
        <w:rPr>
          <w:rFonts w:hint="eastAsia" w:ascii="宋体" w:hAnsi="宋体" w:cs="宋体"/>
          <w:szCs w:val="21"/>
        </w:rPr>
        <w:t>购款项本金将全额退还给投资者。投资者认购本金将在产品原定成立日后的 3 个工作日内退还至客户资金账户，原定产品成立日至资金到账日之间投资者资金不计利息。具体退还到账时间以销售服务机构实际清算时间为准。</w:t>
      </w:r>
    </w:p>
    <w:p>
      <w:pPr>
        <w:tabs>
          <w:tab w:val="left" w:pos="420"/>
          <w:tab w:val="left" w:pos="720"/>
        </w:tabs>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（三）申购与赎回</w:t>
      </w:r>
    </w:p>
    <w:p>
      <w:pPr>
        <w:tabs>
          <w:tab w:val="left" w:pos="0"/>
        </w:tabs>
        <w:spacing w:line="360" w:lineRule="auto"/>
        <w:ind w:firstLine="420" w:firstLineChars="200"/>
        <w:rPr>
          <w:rFonts w:ascii="宋体" w:hAnsi="宋体" w:cs="宋体"/>
          <w:szCs w:val="21"/>
        </w:rPr>
      </w:pPr>
      <w:r>
        <w:rPr>
          <w:rFonts w:hint="eastAsia" w:ascii="宋体" w:hAnsi="宋体" w:cs="宋体"/>
          <w:szCs w:val="21"/>
        </w:rPr>
        <w:t>本产品开放申购、赎回等交易。</w:t>
      </w:r>
    </w:p>
    <w:p>
      <w:pPr>
        <w:tabs>
          <w:tab w:val="left" w:pos="210"/>
          <w:tab w:val="left" w:pos="1050"/>
        </w:tabs>
        <w:autoSpaceDE w:val="0"/>
        <w:autoSpaceDN w:val="0"/>
        <w:adjustRightInd w:val="0"/>
        <w:spacing w:line="360" w:lineRule="auto"/>
        <w:ind w:left="420" w:leftChars="200"/>
        <w:outlineLvl w:val="2"/>
        <w:rPr>
          <w:rFonts w:ascii="宋体" w:hAnsi="宋体" w:cs="宋体"/>
          <w:b/>
          <w:bCs/>
          <w:kern w:val="0"/>
          <w:szCs w:val="21"/>
          <w:lang w:bidi="bn-IN"/>
        </w:rPr>
      </w:pPr>
      <w:r>
        <w:rPr>
          <w:rFonts w:ascii="宋体" w:hAnsi="宋体" w:cs="宋体"/>
          <w:b/>
          <w:bCs/>
          <w:kern w:val="0"/>
          <w:szCs w:val="21"/>
          <w:lang w:bidi="bn-IN"/>
        </w:rPr>
        <w:t>1.</w:t>
      </w:r>
      <w:r>
        <w:rPr>
          <w:rFonts w:hint="eastAsia" w:ascii="宋体" w:hAnsi="宋体" w:cs="宋体"/>
          <w:b/>
          <w:bCs/>
          <w:kern w:val="0"/>
          <w:szCs w:val="21"/>
          <w:lang w:bidi="bn-IN"/>
        </w:rPr>
        <w:t>申购与赎回的操作</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1）产品</w:t>
      </w:r>
      <w:r>
        <w:rPr>
          <w:rFonts w:hint="eastAsia" w:ascii="宋体" w:hAnsi="宋体" w:cs="宋体"/>
          <w:szCs w:val="21"/>
        </w:rPr>
        <w:t>首个开放日为202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r>
        <w:rPr>
          <w:rFonts w:ascii="宋体" w:hAnsi="宋体" w:cs="宋体"/>
          <w:szCs w:val="21"/>
        </w:rPr>
        <w:t>，</w:t>
      </w:r>
      <w:r>
        <w:rPr>
          <w:rFonts w:hint="eastAsia" w:ascii="宋体" w:hAnsi="宋体" w:cs="宋体"/>
          <w:szCs w:val="21"/>
        </w:rPr>
        <w:t>之后每个交易所工作日开放申购与赎回，但赎回交易的份额需满足最低持有期要求。投资者可在本产品开放日的交易时间内进行申购或赎回，同时可在开放日的交易时间内对提交的申请进行撤销，开放日是否可以撤单以及撤单规则，如销售服务机构另有规定的，以销售服务机构为准。非交易时间提交的申购或赎回申请将于下一个开放日正式受理，如销售服务机构有另行规定的，以销售服务机构的规定为准。</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2）投资者在产品开放日当日办理申购时，采用全额缴款方式，投资者交付全额款项后，申购申请即转为正常受理。</w:t>
      </w:r>
    </w:p>
    <w:p>
      <w:pPr>
        <w:tabs>
          <w:tab w:val="left" w:pos="0"/>
        </w:tabs>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）投资者赎回资金</w:t>
      </w:r>
      <w:r>
        <w:rPr>
          <w:rFonts w:hint="eastAsia" w:ascii="宋体" w:hAnsi="宋体" w:cs="宋体"/>
          <w:szCs w:val="21"/>
        </w:rPr>
        <w:t>预计</w:t>
      </w:r>
      <w:r>
        <w:rPr>
          <w:rFonts w:ascii="宋体" w:hAnsi="宋体" w:cs="宋体"/>
          <w:szCs w:val="21"/>
        </w:rPr>
        <w:t>将在产品开放日后</w:t>
      </w:r>
      <w:r>
        <w:rPr>
          <w:rFonts w:hint="eastAsia" w:ascii="宋体" w:hAnsi="宋体" w:cs="宋体"/>
          <w:szCs w:val="21"/>
          <w:lang w:val="en-US" w:eastAsia="zh-CN"/>
        </w:rPr>
        <w:t>1</w:t>
      </w:r>
      <w:r>
        <w:rPr>
          <w:rFonts w:ascii="宋体" w:hAnsi="宋体" w:cs="宋体"/>
          <w:szCs w:val="21"/>
        </w:rPr>
        <w:t>个交易所工作日</w:t>
      </w:r>
      <w:r>
        <w:rPr>
          <w:rFonts w:hint="eastAsia" w:ascii="宋体" w:hAnsi="宋体" w:cs="宋体"/>
          <w:szCs w:val="21"/>
        </w:rPr>
        <w:t>内划到投资者指定账户，产品赎回后至投资者资金划到投资者指定账户之前不计息。</w:t>
      </w:r>
    </w:p>
    <w:p>
      <w:pPr>
        <w:tabs>
          <w:tab w:val="left" w:pos="0"/>
        </w:tabs>
        <w:spacing w:line="360" w:lineRule="auto"/>
        <w:ind w:firstLine="420" w:firstLineChars="200"/>
      </w:pPr>
      <w:r>
        <w:rPr>
          <w:rFonts w:hint="eastAsia" w:ascii="宋体" w:hAnsi="宋体" w:cs="宋体"/>
          <w:szCs w:val="21"/>
        </w:rPr>
        <w:t>具体销售服务机构实际受理时间，以销售服务机构规则为准。</w:t>
      </w:r>
    </w:p>
    <w:p>
      <w:pPr>
        <w:tabs>
          <w:tab w:val="left" w:pos="0"/>
        </w:tabs>
        <w:spacing w:line="360" w:lineRule="auto"/>
        <w:ind w:firstLine="422" w:firstLineChars="200"/>
        <w:outlineLvl w:val="2"/>
        <w:rPr>
          <w:rFonts w:ascii="宋体" w:hAnsi="宋体" w:cs="宋体"/>
          <w:b/>
          <w:bCs/>
          <w:kern w:val="0"/>
          <w:szCs w:val="21"/>
          <w:lang w:bidi="bn-IN"/>
        </w:rPr>
      </w:pPr>
      <w:r>
        <w:rPr>
          <w:rFonts w:ascii="宋体" w:hAnsi="宋体" w:cs="宋体"/>
          <w:b/>
          <w:bCs/>
          <w:kern w:val="0"/>
          <w:szCs w:val="21"/>
          <w:lang w:bidi="bn-IN"/>
        </w:rPr>
        <w:t>2.申购与赎回的原则</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1）未知价原则，即产品的申购价格以申购当日收市后计算的</w:t>
      </w:r>
      <w:r>
        <w:rPr>
          <w:rFonts w:hint="eastAsia" w:ascii="宋体" w:hAnsi="宋体" w:cs="宋体"/>
          <w:szCs w:val="21"/>
        </w:rPr>
        <w:t>相应类别产品</w:t>
      </w:r>
      <w:r>
        <w:rPr>
          <w:rFonts w:ascii="宋体" w:hAnsi="宋体" w:cs="宋体"/>
          <w:szCs w:val="21"/>
        </w:rPr>
        <w:t>份额的</w:t>
      </w:r>
      <w:r>
        <w:rPr>
          <w:rFonts w:hint="eastAsia" w:ascii="宋体" w:hAnsi="宋体" w:cs="宋体"/>
          <w:szCs w:val="21"/>
        </w:rPr>
        <w:t>份额净值为基准进行计算；赎回价格以赎回当日收益分配前的相应类别</w:t>
      </w:r>
      <w:r>
        <w:rPr>
          <w:rFonts w:ascii="宋体" w:hAnsi="宋体" w:cs="宋体"/>
          <w:szCs w:val="21"/>
        </w:rPr>
        <w:t>产品份额的</w:t>
      </w:r>
      <w:r>
        <w:rPr>
          <w:rFonts w:hint="eastAsia" w:ascii="宋体" w:hAnsi="宋体" w:cs="宋体"/>
          <w:szCs w:val="21"/>
        </w:rPr>
        <w:t>份额净值为基准进行计算。</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2）产品采用金额申购和份额赎回的方式，即申购以金额申请，赎回以份额申请</w:t>
      </w:r>
      <w:r>
        <w:rPr>
          <w:rFonts w:hint="eastAsia" w:ascii="宋体" w:hAnsi="宋体" w:cs="宋体"/>
          <w:szCs w:val="21"/>
        </w:rPr>
        <w:t>；赎回遵循先进先出原则，即按照投资人持有产品份额登记日期的先后次序进行顺序赎回</w:t>
      </w:r>
      <w:r>
        <w:rPr>
          <w:rFonts w:ascii="宋体" w:hAnsi="宋体" w:cs="宋体"/>
          <w:szCs w:val="21"/>
        </w:rPr>
        <w:t>。</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ascii="宋体" w:hAnsi="宋体" w:cs="宋体"/>
          <w:szCs w:val="21"/>
          <w:lang w:bidi="ar"/>
        </w:rPr>
        <w:t>当发生大额申购或赎回情形时，产品管理人</w:t>
      </w:r>
      <w:r>
        <w:rPr>
          <w:rFonts w:hint="eastAsia" w:ascii="宋体" w:hAnsi="宋体" w:cs="宋体"/>
          <w:szCs w:val="21"/>
          <w:lang w:bidi="ar"/>
        </w:rPr>
        <w:t>有权</w:t>
      </w:r>
      <w:r>
        <w:rPr>
          <w:rFonts w:ascii="宋体" w:hAnsi="宋体" w:cs="宋体"/>
          <w:szCs w:val="21"/>
          <w:lang w:bidi="ar"/>
        </w:rPr>
        <w:t>采用摆动定价机制，具体处理原则与操作规范遵循相关法律法规以及</w:t>
      </w:r>
      <w:r>
        <w:rPr>
          <w:rFonts w:hint="eastAsia" w:ascii="宋体" w:hAnsi="宋体" w:cs="宋体"/>
          <w:szCs w:val="21"/>
          <w:lang w:eastAsia="zh-CN" w:bidi="ar"/>
        </w:rPr>
        <w:t>监管机构</w:t>
      </w:r>
      <w:r>
        <w:rPr>
          <w:rFonts w:ascii="宋体" w:hAnsi="宋体" w:cs="宋体"/>
          <w:szCs w:val="21"/>
          <w:lang w:bidi="ar"/>
        </w:rPr>
        <w:t>、自律规则的规定</w:t>
      </w:r>
      <w:r>
        <w:rPr>
          <w:rFonts w:hint="eastAsia" w:ascii="宋体" w:hAnsi="宋体" w:cs="宋体"/>
          <w:szCs w:val="21"/>
          <w:lang w:bidi="ar"/>
        </w:rPr>
        <w:t>。</w:t>
      </w:r>
    </w:p>
    <w:p>
      <w:pPr>
        <w:tabs>
          <w:tab w:val="left" w:pos="0"/>
        </w:tabs>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）产品管理人在不损害产品份额持有人权益的情况下可更改上述原则，但最迟须在新的原则实施前</w:t>
      </w:r>
      <w:r>
        <w:rPr>
          <w:rFonts w:hint="eastAsia" w:ascii="宋体" w:hAnsi="宋体" w:cs="宋体"/>
          <w:szCs w:val="21"/>
        </w:rPr>
        <w:t>2</w:t>
      </w:r>
      <w:r>
        <w:rPr>
          <w:rFonts w:ascii="宋体" w:hAnsi="宋体" w:cs="宋体"/>
          <w:szCs w:val="21"/>
        </w:rPr>
        <w:t>个工作日予以公告。</w:t>
      </w:r>
    </w:p>
    <w:p>
      <w:pPr>
        <w:tabs>
          <w:tab w:val="left" w:pos="210"/>
          <w:tab w:val="left" w:pos="1050"/>
        </w:tabs>
        <w:autoSpaceDE w:val="0"/>
        <w:autoSpaceDN w:val="0"/>
        <w:adjustRightInd w:val="0"/>
        <w:spacing w:line="360" w:lineRule="auto"/>
        <w:ind w:left="420" w:leftChars="200"/>
        <w:rPr>
          <w:rFonts w:ascii="宋体" w:hAnsi="宋体" w:cs="宋体"/>
          <w:b/>
          <w:bCs/>
          <w:kern w:val="0"/>
          <w:szCs w:val="21"/>
          <w:lang w:bidi="bn-IN"/>
        </w:rPr>
      </w:pPr>
      <w:r>
        <w:rPr>
          <w:rFonts w:hint="eastAsia" w:ascii="宋体" w:hAnsi="宋体" w:cs="宋体"/>
          <w:szCs w:val="21"/>
          <w:lang w:bidi="bn-IN"/>
        </w:rPr>
        <w:t>具体销售服务机构实际受理时间，以销售服务机构规则为准。</w:t>
      </w:r>
    </w:p>
    <w:p>
      <w:pPr>
        <w:tabs>
          <w:tab w:val="left" w:pos="210"/>
          <w:tab w:val="left" w:pos="1050"/>
        </w:tabs>
        <w:autoSpaceDE w:val="0"/>
        <w:autoSpaceDN w:val="0"/>
        <w:adjustRightInd w:val="0"/>
        <w:spacing w:line="360" w:lineRule="auto"/>
        <w:ind w:left="420" w:leftChars="200"/>
        <w:outlineLvl w:val="2"/>
        <w:rPr>
          <w:rFonts w:ascii="宋体" w:hAnsi="宋体" w:cs="宋体"/>
          <w:b/>
          <w:bCs/>
          <w:kern w:val="0"/>
          <w:szCs w:val="21"/>
          <w:lang w:bidi="bn-IN"/>
        </w:rPr>
      </w:pPr>
      <w:r>
        <w:rPr>
          <w:rFonts w:ascii="宋体" w:hAnsi="宋体" w:cs="宋体"/>
          <w:b/>
          <w:bCs/>
          <w:kern w:val="0"/>
          <w:szCs w:val="21"/>
          <w:lang w:bidi="bn-IN"/>
        </w:rPr>
        <w:t>3.申购与赎回申请的确认</w:t>
      </w:r>
    </w:p>
    <w:p>
      <w:pPr>
        <w:tabs>
          <w:tab w:val="left" w:pos="0"/>
        </w:tabs>
        <w:spacing w:line="360" w:lineRule="auto"/>
        <w:ind w:firstLine="420" w:firstLineChars="200"/>
        <w:rPr>
          <w:rFonts w:ascii="宋体" w:hAnsi="宋体" w:cs="宋体"/>
          <w:szCs w:val="21"/>
        </w:rPr>
      </w:pPr>
      <w:r>
        <w:rPr>
          <w:rFonts w:hint="eastAsia" w:ascii="宋体" w:hAnsi="宋体" w:cs="宋体"/>
          <w:szCs w:val="21"/>
        </w:rPr>
        <w:t>产品管理人将在每个产品开放日后</w:t>
      </w:r>
      <w:r>
        <w:rPr>
          <w:rFonts w:hint="eastAsia" w:ascii="宋体" w:hAnsi="宋体" w:cs="宋体"/>
          <w:szCs w:val="21"/>
          <w:lang w:val="en-US" w:eastAsia="zh-CN"/>
        </w:rPr>
        <w:t>1</w:t>
      </w:r>
      <w:r>
        <w:rPr>
          <w:rFonts w:hint="eastAsia" w:ascii="宋体" w:hAnsi="宋体" w:cs="宋体"/>
          <w:szCs w:val="21"/>
        </w:rPr>
        <w:t>个交易所工作日内对投资者申购、赎回交易的有效性进行确认，投资者可在每个产品开放日后第</w:t>
      </w:r>
      <w:r>
        <w:rPr>
          <w:rFonts w:hint="eastAsia" w:ascii="宋体" w:hAnsi="宋体" w:cs="宋体"/>
          <w:szCs w:val="21"/>
          <w:lang w:val="en-US" w:eastAsia="zh-CN"/>
        </w:rPr>
        <w:t>2</w:t>
      </w:r>
      <w:r>
        <w:rPr>
          <w:rFonts w:hint="eastAsia" w:ascii="宋体" w:hAnsi="宋体" w:cs="宋体"/>
          <w:szCs w:val="21"/>
        </w:rPr>
        <w:t>个交易所工作日起到销售服务机构营业网点或网上销售平台查询申购、赎回的确认情况。</w:t>
      </w:r>
    </w:p>
    <w:p>
      <w:pPr>
        <w:tabs>
          <w:tab w:val="left" w:pos="0"/>
          <w:tab w:val="left" w:pos="454"/>
        </w:tabs>
        <w:spacing w:line="360" w:lineRule="auto"/>
        <w:ind w:left="418" w:leftChars="199"/>
        <w:outlineLvl w:val="2"/>
        <w:rPr>
          <w:rFonts w:ascii="宋体" w:hAnsi="宋体" w:cs="宋体"/>
          <w:b/>
          <w:bCs/>
          <w:kern w:val="0"/>
          <w:szCs w:val="21"/>
          <w:lang w:bidi="bn-IN"/>
        </w:rPr>
      </w:pPr>
      <w:r>
        <w:rPr>
          <w:rFonts w:ascii="宋体" w:hAnsi="宋体" w:cs="宋体"/>
          <w:b/>
          <w:bCs/>
          <w:kern w:val="0"/>
          <w:szCs w:val="21"/>
          <w:lang w:bidi="bn-IN"/>
        </w:rPr>
        <w:t>4.申购与赎回的限制</w:t>
      </w:r>
    </w:p>
    <w:p>
      <w:pPr>
        <w:tabs>
          <w:tab w:val="left" w:pos="0"/>
        </w:tabs>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D</w:t>
      </w:r>
      <w:r>
        <w:rPr>
          <w:rFonts w:hint="eastAsia" w:ascii="宋体" w:hAnsi="宋体" w:cs="宋体"/>
          <w:szCs w:val="21"/>
        </w:rPr>
        <w:t>类</w:t>
      </w:r>
      <w:r>
        <w:rPr>
          <w:rFonts w:hint="eastAsia" w:ascii="宋体" w:hAnsi="宋体" w:cs="宋体"/>
          <w:szCs w:val="21"/>
          <w:lang w:eastAsia="zh-CN"/>
        </w:rPr>
        <w:t>、</w:t>
      </w:r>
      <w:r>
        <w:rPr>
          <w:rFonts w:hint="eastAsia" w:ascii="宋体" w:hAnsi="宋体" w:cs="宋体"/>
          <w:szCs w:val="21"/>
          <w:lang w:val="en-US" w:eastAsia="zh-CN"/>
        </w:rPr>
        <w:t>H类</w:t>
      </w:r>
      <w:r>
        <w:rPr>
          <w:rFonts w:hint="eastAsia" w:ascii="宋体" w:hAnsi="宋体" w:cs="宋体"/>
          <w:szCs w:val="21"/>
        </w:rPr>
        <w:t>份额申购金额以1元整数倍递增，申购时若为首次投资，申购金额不得少于人民币1元，追加投资不得少于1元</w:t>
      </w:r>
      <w:r>
        <w:rPr>
          <w:rFonts w:hint="eastAsia" w:ascii="宋体" w:hAnsi="宋体" w:cs="宋体"/>
          <w:szCs w:val="21"/>
          <w:lang w:eastAsia="zh-CN"/>
        </w:rPr>
        <w:t>。</w:t>
      </w:r>
    </w:p>
    <w:p>
      <w:pPr>
        <w:numPr>
          <w:ilvl w:val="0"/>
          <w:numId w:val="3"/>
        </w:numPr>
        <w:tabs>
          <w:tab w:val="left" w:pos="0"/>
        </w:tabs>
        <w:spacing w:line="360" w:lineRule="auto"/>
        <w:ind w:firstLine="420" w:firstLineChars="200"/>
        <w:rPr>
          <w:rFonts w:ascii="宋体" w:hAnsi="宋体" w:cs="宋体"/>
          <w:szCs w:val="21"/>
        </w:rPr>
      </w:pPr>
      <w:r>
        <w:rPr>
          <w:rFonts w:hint="eastAsia" w:ascii="宋体" w:hAnsi="宋体" w:cs="宋体"/>
          <w:szCs w:val="21"/>
        </w:rPr>
        <w:t>投资者每次赎回</w:t>
      </w:r>
      <w:r>
        <w:rPr>
          <w:rFonts w:hint="eastAsia" w:ascii="宋体" w:hAnsi="宋体" w:cs="宋体"/>
          <w:szCs w:val="21"/>
          <w:lang w:val="en-US" w:eastAsia="zh-CN"/>
        </w:rPr>
        <w:t>D</w:t>
      </w:r>
      <w:r>
        <w:rPr>
          <w:rFonts w:hint="eastAsia" w:ascii="宋体" w:hAnsi="宋体" w:cs="宋体"/>
          <w:szCs w:val="21"/>
        </w:rPr>
        <w:t>类</w:t>
      </w:r>
      <w:r>
        <w:rPr>
          <w:rFonts w:hint="eastAsia" w:ascii="宋体" w:hAnsi="宋体" w:cs="宋体"/>
          <w:szCs w:val="21"/>
          <w:lang w:eastAsia="zh-CN"/>
        </w:rPr>
        <w:t>、</w:t>
      </w:r>
      <w:r>
        <w:rPr>
          <w:rFonts w:hint="eastAsia" w:ascii="宋体" w:hAnsi="宋体" w:cs="宋体"/>
          <w:szCs w:val="21"/>
          <w:lang w:val="en-US" w:eastAsia="zh-CN"/>
        </w:rPr>
        <w:t>H类</w:t>
      </w:r>
      <w:r>
        <w:rPr>
          <w:rFonts w:hint="eastAsia" w:ascii="宋体" w:hAnsi="宋体" w:cs="宋体"/>
          <w:szCs w:val="21"/>
        </w:rPr>
        <w:t>份额申请不得低于0.01份产品份额，产品份额持有人赎回时或赎回后保留的产品份额余额不足1份的，在赎回时需一次全部赎回</w:t>
      </w:r>
      <w:r>
        <w:rPr>
          <w:rFonts w:hint="eastAsia" w:ascii="宋体" w:hAnsi="宋体" w:cs="宋体"/>
          <w:szCs w:val="21"/>
          <w:lang w:eastAsia="zh-CN"/>
        </w:rPr>
        <w:t>。</w:t>
      </w:r>
    </w:p>
    <w:p>
      <w:pPr>
        <w:numPr>
          <w:ilvl w:val="255"/>
          <w:numId w:val="0"/>
        </w:numPr>
        <w:tabs>
          <w:tab w:val="left" w:pos="0"/>
        </w:tabs>
        <w:spacing w:line="360" w:lineRule="auto"/>
        <w:ind w:firstLine="420" w:firstLineChars="200"/>
        <w:rPr>
          <w:rFonts w:ascii="宋体" w:hAnsi="宋体" w:cs="宋体"/>
          <w:szCs w:val="21"/>
        </w:rPr>
      </w:pPr>
      <w:r>
        <w:rPr>
          <w:rFonts w:hint="eastAsia" w:ascii="宋体" w:hAnsi="宋体" w:cs="宋体"/>
          <w:szCs w:val="21"/>
        </w:rPr>
        <w:t>投资者有权将其持有的产品份额全部或部分赎回，投资者在办理某笔赎回业务时在销售服务机构单个理财账户保留的产品份额余额不足最低份额要求的，投资者剩余份额将被一次性全额赎回。</w:t>
      </w:r>
    </w:p>
    <w:p>
      <w:pPr>
        <w:tabs>
          <w:tab w:val="left" w:pos="0"/>
        </w:tabs>
        <w:spacing w:line="360" w:lineRule="auto"/>
        <w:ind w:firstLine="420" w:firstLineChars="200"/>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）产品管理人在不损害产品份额持有人权益的情况下可以根据实际情况对以上限制进行调整，并按照信息披露要求进行公告。</w:t>
      </w:r>
    </w:p>
    <w:p>
      <w:pPr>
        <w:tabs>
          <w:tab w:val="left" w:pos="0"/>
        </w:tabs>
        <w:spacing w:line="360" w:lineRule="auto"/>
        <w:ind w:left="442"/>
        <w:outlineLvl w:val="2"/>
        <w:rPr>
          <w:rFonts w:ascii="宋体" w:hAnsi="宋体" w:cs="宋体"/>
          <w:b/>
          <w:bCs/>
          <w:kern w:val="0"/>
          <w:szCs w:val="21"/>
          <w:lang w:bidi="bn-IN"/>
        </w:rPr>
      </w:pPr>
      <w:r>
        <w:rPr>
          <w:rFonts w:ascii="宋体" w:hAnsi="宋体" w:cs="宋体"/>
          <w:b/>
          <w:bCs/>
          <w:kern w:val="0"/>
          <w:szCs w:val="21"/>
          <w:lang w:bidi="bn-IN"/>
        </w:rPr>
        <w:t>5.申购份额的计算</w:t>
      </w:r>
    </w:p>
    <w:p>
      <w:pPr>
        <w:tabs>
          <w:tab w:val="left" w:pos="0"/>
        </w:tabs>
        <w:spacing w:line="360" w:lineRule="auto"/>
        <w:ind w:firstLine="420" w:firstLineChars="200"/>
        <w:rPr>
          <w:rFonts w:ascii="宋体" w:hAnsi="宋体" w:cs="宋体"/>
          <w:szCs w:val="21"/>
        </w:rPr>
      </w:pPr>
      <w:r>
        <w:rPr>
          <w:rFonts w:hint="eastAsia" w:ascii="宋体" w:hAnsi="宋体" w:cs="宋体"/>
          <w:szCs w:val="21"/>
        </w:rPr>
        <w:t>申购份额的计算公式如下：</w:t>
      </w:r>
    </w:p>
    <w:p>
      <w:pPr>
        <w:tabs>
          <w:tab w:val="left" w:pos="0"/>
        </w:tabs>
        <w:spacing w:line="360" w:lineRule="auto"/>
        <w:ind w:firstLine="420" w:firstLineChars="200"/>
        <w:rPr>
          <w:rFonts w:ascii="宋体" w:hAnsi="宋体" w:cs="宋体"/>
          <w:szCs w:val="21"/>
        </w:rPr>
      </w:pPr>
      <w:r>
        <w:rPr>
          <w:rFonts w:hint="eastAsia" w:ascii="宋体" w:hAnsi="宋体" w:cs="宋体"/>
          <w:szCs w:val="21"/>
        </w:rPr>
        <w:t>净申购金额</w:t>
      </w:r>
      <w:r>
        <w:rPr>
          <w:rFonts w:ascii="宋体" w:hAnsi="宋体" w:cs="宋体"/>
          <w:szCs w:val="21"/>
        </w:rPr>
        <w:t>=申购金额/</w:t>
      </w:r>
      <w:r>
        <w:rPr>
          <w:rFonts w:hint="eastAsia" w:ascii="宋体" w:hAnsi="宋体" w:cs="宋体"/>
          <w:szCs w:val="21"/>
        </w:rPr>
        <w:t>（</w:t>
      </w:r>
      <w:r>
        <w:rPr>
          <w:rFonts w:ascii="宋体" w:hAnsi="宋体" w:cs="宋体"/>
          <w:szCs w:val="21"/>
        </w:rPr>
        <w:t>1+申购费率</w:t>
      </w:r>
      <w:r>
        <w:rPr>
          <w:rFonts w:hint="eastAsia" w:ascii="宋体" w:hAnsi="宋体" w:cs="宋体"/>
          <w:szCs w:val="21"/>
        </w:rPr>
        <w:t>）</w:t>
      </w:r>
    </w:p>
    <w:p>
      <w:pPr>
        <w:tabs>
          <w:tab w:val="left" w:pos="0"/>
        </w:tabs>
        <w:spacing w:line="360" w:lineRule="auto"/>
        <w:ind w:firstLine="420" w:firstLineChars="200"/>
        <w:rPr>
          <w:rFonts w:ascii="宋体" w:hAnsi="宋体" w:cs="宋体"/>
          <w:szCs w:val="21"/>
        </w:rPr>
      </w:pPr>
      <w:r>
        <w:rPr>
          <w:rFonts w:hint="eastAsia" w:ascii="宋体" w:hAnsi="宋体" w:cs="宋体"/>
          <w:szCs w:val="21"/>
        </w:rPr>
        <w:t>申购费用＝净申购金额×申购费率</w:t>
      </w:r>
    </w:p>
    <w:p>
      <w:pPr>
        <w:tabs>
          <w:tab w:val="left" w:pos="0"/>
        </w:tabs>
        <w:spacing w:line="360" w:lineRule="auto"/>
        <w:ind w:firstLine="420" w:firstLineChars="200"/>
        <w:rPr>
          <w:rFonts w:ascii="宋体" w:hAnsi="宋体" w:cs="宋体"/>
          <w:szCs w:val="21"/>
        </w:rPr>
      </w:pPr>
      <w:r>
        <w:rPr>
          <w:rFonts w:hint="eastAsia" w:ascii="宋体" w:hAnsi="宋体" w:cs="宋体"/>
          <w:szCs w:val="21"/>
        </w:rPr>
        <w:t>申购份额＝净申购金额</w:t>
      </w:r>
      <w:r>
        <w:rPr>
          <w:rFonts w:ascii="宋体" w:hAnsi="宋体" w:cs="宋体"/>
          <w:szCs w:val="21"/>
        </w:rPr>
        <w:t>/申购</w:t>
      </w:r>
      <w:r>
        <w:rPr>
          <w:rFonts w:hint="eastAsia" w:ascii="宋体" w:hAnsi="宋体" w:cs="宋体"/>
          <w:szCs w:val="21"/>
        </w:rPr>
        <w:t>日相应类别产品份额的产品份额净值</w:t>
      </w:r>
    </w:p>
    <w:p>
      <w:pPr>
        <w:tabs>
          <w:tab w:val="left" w:pos="0"/>
        </w:tabs>
        <w:spacing w:line="360" w:lineRule="auto"/>
        <w:ind w:firstLine="420" w:firstLineChars="200"/>
        <w:rPr>
          <w:rFonts w:ascii="宋体" w:hAnsi="宋体" w:cs="宋体"/>
          <w:szCs w:val="21"/>
        </w:rPr>
      </w:pPr>
      <w:r>
        <w:rPr>
          <w:rFonts w:hint="eastAsia" w:ascii="宋体" w:hAnsi="宋体" w:cs="宋体"/>
          <w:szCs w:val="21"/>
        </w:rPr>
        <w:t>净申购金额、申购费用、申购份额以四舍五入方式保留到小数点后两位。</w:t>
      </w:r>
    </w:p>
    <w:p>
      <w:pPr>
        <w:tabs>
          <w:tab w:val="left" w:pos="0"/>
        </w:tabs>
        <w:spacing w:line="360" w:lineRule="auto"/>
        <w:ind w:left="440"/>
        <w:outlineLvl w:val="2"/>
        <w:rPr>
          <w:rFonts w:ascii="宋体" w:hAnsi="宋体" w:cs="宋体"/>
          <w:b/>
          <w:bCs/>
          <w:kern w:val="0"/>
          <w:szCs w:val="21"/>
          <w:lang w:bidi="bn-IN"/>
        </w:rPr>
      </w:pPr>
      <w:r>
        <w:rPr>
          <w:rFonts w:ascii="宋体" w:hAnsi="宋体" w:cs="宋体"/>
          <w:b/>
          <w:bCs/>
          <w:kern w:val="0"/>
          <w:szCs w:val="21"/>
          <w:lang w:bidi="bn-IN"/>
        </w:rPr>
        <w:t>6.赎回净额的计算</w:t>
      </w:r>
    </w:p>
    <w:p>
      <w:pPr>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赎回净额的计算公式如下：</w:t>
      </w:r>
    </w:p>
    <w:p>
      <w:pPr>
        <w:spacing w:line="360" w:lineRule="auto"/>
        <w:ind w:firstLine="417" w:firstLineChars="199"/>
        <w:rPr>
          <w:rFonts w:ascii="宋体" w:hAnsi="宋体" w:cs="宋体"/>
          <w:bCs/>
          <w:kern w:val="0"/>
          <w:szCs w:val="21"/>
          <w:lang w:bidi="bn-IN"/>
        </w:rPr>
      </w:pPr>
      <w:r>
        <w:rPr>
          <w:rFonts w:hint="eastAsia" w:ascii="宋体" w:hAnsi="宋体" w:cs="宋体"/>
          <w:bCs/>
          <w:kern w:val="0"/>
          <w:szCs w:val="21"/>
          <w:lang w:bidi="bn-IN"/>
        </w:rPr>
        <w:t>赎回总额＝赎回确认份额×赎回日</w:t>
      </w:r>
      <w:r>
        <w:rPr>
          <w:rFonts w:hint="eastAsia" w:ascii="宋体" w:hAnsi="宋体" w:cs="宋体"/>
          <w:bCs/>
          <w:kern w:val="0"/>
          <w:szCs w:val="21"/>
        </w:rPr>
        <w:t>相应类别产品份额的</w:t>
      </w:r>
      <w:r>
        <w:rPr>
          <w:rFonts w:hint="eastAsia" w:ascii="宋体" w:hAnsi="宋体" w:cs="宋体"/>
          <w:bCs/>
          <w:kern w:val="0"/>
          <w:szCs w:val="21"/>
          <w:lang w:bidi="bn-IN"/>
        </w:rPr>
        <w:t>产品份额净值</w:t>
      </w:r>
    </w:p>
    <w:p>
      <w:pPr>
        <w:spacing w:line="360" w:lineRule="auto"/>
        <w:ind w:firstLine="417" w:firstLineChars="199"/>
        <w:rPr>
          <w:rFonts w:ascii="宋体" w:hAnsi="宋体" w:cs="宋体"/>
          <w:bCs/>
          <w:kern w:val="0"/>
          <w:szCs w:val="21"/>
          <w:lang w:bidi="bn-IN"/>
        </w:rPr>
      </w:pPr>
      <w:r>
        <w:rPr>
          <w:rFonts w:hint="eastAsia" w:ascii="宋体" w:hAnsi="宋体" w:cs="宋体"/>
          <w:bCs/>
          <w:kern w:val="0"/>
          <w:szCs w:val="21"/>
          <w:lang w:bidi="bn-IN"/>
        </w:rPr>
        <w:t>赎回费用＝赎回总额×赎回费率</w:t>
      </w:r>
    </w:p>
    <w:p>
      <w:pPr>
        <w:spacing w:line="360" w:lineRule="auto"/>
        <w:ind w:firstLine="417" w:firstLineChars="199"/>
        <w:rPr>
          <w:rFonts w:ascii="宋体" w:hAnsi="宋体" w:cs="宋体"/>
          <w:bCs/>
          <w:kern w:val="0"/>
          <w:szCs w:val="21"/>
          <w:lang w:bidi="bn-IN"/>
        </w:rPr>
      </w:pPr>
      <w:r>
        <w:rPr>
          <w:rFonts w:hint="eastAsia" w:ascii="宋体" w:hAnsi="宋体" w:cs="宋体"/>
          <w:bCs/>
          <w:kern w:val="0"/>
          <w:szCs w:val="21"/>
          <w:lang w:bidi="bn-IN"/>
        </w:rPr>
        <w:t>赎回净额</w:t>
      </w:r>
      <w:r>
        <w:rPr>
          <w:rFonts w:ascii="宋体" w:hAnsi="宋体" w:cs="宋体"/>
          <w:bCs/>
          <w:kern w:val="0"/>
          <w:szCs w:val="21"/>
          <w:lang w:bidi="bn-IN"/>
        </w:rPr>
        <w:t>=赎回总额-赎回费用</w:t>
      </w:r>
    </w:p>
    <w:p>
      <w:pPr>
        <w:spacing w:line="360" w:lineRule="auto"/>
        <w:ind w:firstLine="417" w:firstLineChars="199"/>
        <w:rPr>
          <w:rFonts w:ascii="宋体" w:hAnsi="宋体" w:cs="宋体"/>
          <w:bCs/>
          <w:kern w:val="0"/>
          <w:szCs w:val="21"/>
          <w:lang w:bidi="bn-IN"/>
        </w:rPr>
      </w:pPr>
      <w:r>
        <w:rPr>
          <w:rFonts w:hint="eastAsia" w:ascii="宋体" w:hAnsi="宋体" w:cs="宋体"/>
          <w:bCs/>
          <w:kern w:val="0"/>
          <w:szCs w:val="21"/>
          <w:lang w:bidi="bn-IN"/>
        </w:rPr>
        <w:t>赎回总额、赎回费用、赎回确认份额、赎回净额以四舍五入的方法保留至小数点后两位。</w:t>
      </w:r>
    </w:p>
    <w:p>
      <w:pPr>
        <w:tabs>
          <w:tab w:val="left" w:pos="0"/>
        </w:tabs>
        <w:spacing w:line="360" w:lineRule="auto"/>
        <w:ind w:firstLine="422" w:firstLineChars="200"/>
        <w:outlineLvl w:val="2"/>
        <w:rPr>
          <w:rFonts w:ascii="宋体" w:hAnsi="宋体" w:cs="宋体"/>
          <w:b/>
          <w:bCs/>
          <w:kern w:val="0"/>
          <w:szCs w:val="21"/>
          <w:lang w:bidi="bn-IN"/>
        </w:rPr>
      </w:pPr>
      <w:r>
        <w:rPr>
          <w:rFonts w:ascii="宋体" w:hAnsi="宋体" w:cs="宋体"/>
          <w:b/>
          <w:bCs/>
          <w:kern w:val="0"/>
          <w:szCs w:val="21"/>
          <w:lang w:bidi="bn-IN"/>
        </w:rPr>
        <w:t>7.拒绝或暂停接受申购、暂停赎回或延缓支付赎回款项的情形及处理</w:t>
      </w:r>
    </w:p>
    <w:p>
      <w:pPr>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w:t>
      </w:r>
      <w:r>
        <w:rPr>
          <w:rFonts w:ascii="宋体" w:hAnsi="宋体" w:cs="宋体"/>
          <w:bCs/>
          <w:kern w:val="0"/>
          <w:szCs w:val="21"/>
          <w:lang w:bidi="bn-IN"/>
        </w:rPr>
        <w:t>1）除下列情形外，管理人不得拒绝接受或暂停接受投资者的申购申请：</w:t>
      </w:r>
    </w:p>
    <w:p>
      <w:pPr>
        <w:tabs>
          <w:tab w:val="left" w:pos="120"/>
          <w:tab w:val="left" w:pos="420"/>
        </w:tabs>
        <w:spacing w:line="360" w:lineRule="auto"/>
        <w:ind w:left="420" w:leftChars="200"/>
        <w:rPr>
          <w:rFonts w:ascii="宋体" w:hAnsi="宋体" w:cs="宋体"/>
          <w:bCs/>
          <w:kern w:val="0"/>
          <w:szCs w:val="21"/>
          <w:lang w:bidi="bn-IN"/>
        </w:rPr>
      </w:pPr>
      <w:r>
        <w:rPr>
          <w:rFonts w:hint="eastAsia" w:ascii="宋体" w:hAnsi="宋体" w:cs="宋体"/>
          <w:bCs/>
          <w:kern w:val="0"/>
          <w:szCs w:val="21"/>
          <w:lang w:bidi="bn-IN"/>
        </w:rPr>
        <w:t>①不可抗力的原因导致产品无法正常运作；</w:t>
      </w:r>
    </w:p>
    <w:p>
      <w:pPr>
        <w:tabs>
          <w:tab w:val="left" w:pos="120"/>
          <w:tab w:val="left" w:pos="420"/>
        </w:tabs>
        <w:spacing w:line="360" w:lineRule="auto"/>
        <w:ind w:left="420" w:leftChars="200"/>
        <w:rPr>
          <w:rFonts w:ascii="宋体" w:hAnsi="宋体" w:cs="宋体"/>
          <w:bCs/>
          <w:kern w:val="0"/>
          <w:szCs w:val="21"/>
          <w:lang w:bidi="bn-IN"/>
        </w:rPr>
      </w:pPr>
      <w:r>
        <w:rPr>
          <w:rFonts w:hint="eastAsia" w:ascii="宋体" w:hAnsi="宋体" w:cs="宋体"/>
          <w:bCs/>
          <w:kern w:val="0"/>
          <w:szCs w:val="21"/>
          <w:lang w:bidi="bn-IN"/>
        </w:rPr>
        <w:t>②证券交易场所依法决定临时停市，导致产品管理人无法计算当日产品资产净值；</w:t>
      </w:r>
    </w:p>
    <w:p>
      <w:pPr>
        <w:tabs>
          <w:tab w:val="left" w:pos="120"/>
          <w:tab w:val="left" w:pos="420"/>
        </w:tabs>
        <w:spacing w:line="360" w:lineRule="auto"/>
        <w:ind w:left="420" w:leftChars="200"/>
        <w:rPr>
          <w:rFonts w:ascii="宋体" w:hAnsi="宋体" w:cs="宋体"/>
          <w:bCs/>
          <w:kern w:val="0"/>
          <w:szCs w:val="21"/>
          <w:lang w:bidi="bn-IN"/>
        </w:rPr>
      </w:pPr>
      <w:r>
        <w:rPr>
          <w:rFonts w:hint="eastAsia" w:ascii="宋体" w:hAnsi="宋体" w:cs="宋体"/>
          <w:bCs/>
          <w:kern w:val="0"/>
          <w:szCs w:val="21"/>
          <w:lang w:bidi="bn-IN"/>
        </w:rPr>
        <w:t>③超过产品规模上限；</w:t>
      </w:r>
    </w:p>
    <w:p>
      <w:pPr>
        <w:tabs>
          <w:tab w:val="left" w:pos="120"/>
          <w:tab w:val="left" w:pos="420"/>
        </w:tabs>
        <w:spacing w:line="360" w:lineRule="auto"/>
        <w:ind w:left="420" w:leftChars="200"/>
        <w:rPr>
          <w:rFonts w:ascii="宋体" w:hAnsi="宋体" w:cs="宋体"/>
          <w:bCs/>
          <w:kern w:val="0"/>
          <w:szCs w:val="21"/>
          <w:lang w:bidi="bn-IN"/>
        </w:rPr>
      </w:pPr>
      <w:r>
        <w:rPr>
          <w:rFonts w:hint="eastAsia" w:ascii="宋体" w:hAnsi="宋体" w:cs="宋体"/>
          <w:bCs/>
          <w:kern w:val="0"/>
          <w:szCs w:val="21"/>
          <w:lang w:bidi="bn-IN"/>
        </w:rPr>
        <w:t>④投资者申购超过个人</w:t>
      </w:r>
      <w:r>
        <w:rPr>
          <w:rFonts w:ascii="宋体" w:hAnsi="宋体" w:cs="宋体"/>
          <w:bCs/>
          <w:kern w:val="0"/>
          <w:szCs w:val="21"/>
          <w:lang w:bidi="bn-IN"/>
        </w:rPr>
        <w:t>/机构投资者持有上限；</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⑤产品资产规模过大，管理人无法找到合适的投资品种，或继续接受申购可能对产品业绩产生负面影响，从而损害现有产品份额持有人的利益；</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⑥当产品管理人认为某笔申购申请会有损于其他产品份额持有人利益时，可拒绝该笔申购申请；</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⑦暂停估值；</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⑧法律、法规规定认定的其他情形。</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如果投资者的申购申请被拒绝，被拒绝的申购款项本金将全额退还给投资者。申购的投资资金将于原定确认日后3个工作日内返还至客户账户。原定产品确认日至资金到账日之间投资者资金不计利息，具体退还到账时间以销售服务机构实际清算时间为准。</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（2）除下列情形外，管理人不得暂停接受或延期办理投资者的赎回申请：</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①因不可抗力导致产品管理人不能支付赎回款项；</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②证券交易场所依法决定临时停市，导致产品管理人无法计算当日产品资产净值；</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③本产品连续两个开放日及以上发生巨额赎回（详见“巨额赎回的认定及处理”部分）；</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④</w:t>
      </w:r>
      <w:r>
        <w:rPr>
          <w:rFonts w:hint="eastAsia" w:ascii="宋体" w:hAnsi="宋体" w:cs="宋体"/>
          <w:szCs w:val="21"/>
        </w:rPr>
        <w:t>本产品的单个份额持有人在单个开放日申请赎回理财产品份额超过本理财产品总份额合同约定比例的；</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⑤暂停估值；</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⑥法律、法规规定认定的其他情形。</w:t>
      </w:r>
    </w:p>
    <w:p>
      <w:pPr>
        <w:tabs>
          <w:tab w:val="left" w:pos="0"/>
          <w:tab w:val="left" w:pos="120"/>
        </w:tabs>
        <w:spacing w:line="360" w:lineRule="auto"/>
        <w:ind w:firstLine="420" w:firstLineChars="200"/>
        <w:rPr>
          <w:rFonts w:ascii="宋体" w:hAnsi="宋体" w:cs="宋体"/>
          <w:bCs/>
          <w:kern w:val="0"/>
          <w:szCs w:val="21"/>
          <w:lang w:bidi="bn-IN"/>
        </w:rPr>
      </w:pPr>
      <w:r>
        <w:rPr>
          <w:rFonts w:hint="eastAsia" w:ascii="宋体" w:hAnsi="宋体" w:cs="宋体"/>
          <w:bCs/>
          <w:kern w:val="0"/>
          <w:szCs w:val="21"/>
          <w:lang w:bidi="bn-IN"/>
        </w:rPr>
        <w:t>（3）</w:t>
      </w:r>
      <w:r>
        <w:rPr>
          <w:rFonts w:hint="eastAsia" w:ascii="宋体" w:hAnsi="宋体" w:cs="宋体"/>
          <w:szCs w:val="21"/>
        </w:rPr>
        <w:t>本产品的单个份额持有人在单个开放日申请赎回理财产品份额超过本理财产品总份额合同约定比例的，对于已经接受的赎回申请管理人有权延缓支付赎回款项，</w:t>
      </w:r>
      <w:r>
        <w:rPr>
          <w:rFonts w:ascii="宋体" w:hAnsi="宋体" w:cs="宋体"/>
          <w:szCs w:val="21"/>
        </w:rPr>
        <w:t>但不得超过正常支付时间20个工作日</w:t>
      </w:r>
      <w:r>
        <w:rPr>
          <w:rFonts w:hint="eastAsia" w:ascii="宋体" w:hAnsi="宋体" w:cs="宋体"/>
          <w:szCs w:val="21"/>
        </w:rPr>
        <w:t>。</w:t>
      </w:r>
    </w:p>
    <w:p>
      <w:pPr>
        <w:tabs>
          <w:tab w:val="left" w:pos="0"/>
        </w:tabs>
        <w:spacing w:line="360" w:lineRule="auto"/>
        <w:ind w:left="442"/>
        <w:outlineLvl w:val="2"/>
        <w:rPr>
          <w:rFonts w:ascii="宋体" w:hAnsi="宋体" w:cs="宋体"/>
          <w:b/>
          <w:bCs/>
          <w:kern w:val="0"/>
          <w:szCs w:val="21"/>
          <w:lang w:bidi="bn-IN"/>
        </w:rPr>
      </w:pPr>
      <w:r>
        <w:rPr>
          <w:rFonts w:ascii="宋体" w:hAnsi="宋体" w:cs="宋体"/>
          <w:b/>
          <w:bCs/>
          <w:kern w:val="0"/>
          <w:szCs w:val="21"/>
          <w:lang w:bidi="bn-IN"/>
        </w:rPr>
        <w:t>8.巨额赎回的认定及处理</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1）巨额赎回的认定</w:t>
      </w:r>
    </w:p>
    <w:p>
      <w:pPr>
        <w:tabs>
          <w:tab w:val="left" w:pos="0"/>
        </w:tabs>
        <w:spacing w:line="360" w:lineRule="auto"/>
        <w:ind w:firstLine="420" w:firstLineChars="200"/>
        <w:rPr>
          <w:rFonts w:ascii="宋体" w:hAnsi="宋体" w:cs="宋体"/>
          <w:szCs w:val="21"/>
        </w:rPr>
      </w:pPr>
      <w:r>
        <w:rPr>
          <w:rFonts w:hint="eastAsia" w:ascii="宋体" w:hAnsi="宋体" w:cs="宋体"/>
          <w:szCs w:val="21"/>
        </w:rPr>
        <w:t>在产品的单个开放日，产品</w:t>
      </w:r>
      <w:r>
        <w:rPr>
          <w:rFonts w:ascii="宋体" w:hAnsi="宋体" w:cs="宋体"/>
          <w:szCs w:val="21"/>
        </w:rPr>
        <w:t>净</w:t>
      </w:r>
      <w:r>
        <w:rPr>
          <w:rFonts w:hint="eastAsia" w:ascii="宋体" w:hAnsi="宋体" w:cs="宋体"/>
          <w:szCs w:val="21"/>
        </w:rPr>
        <w:t>赎回申请超过上一</w:t>
      </w:r>
      <w:r>
        <w:rPr>
          <w:rFonts w:ascii="宋体" w:hAnsi="宋体" w:cs="宋体"/>
          <w:szCs w:val="21"/>
        </w:rPr>
        <w:t>交易所工作</w:t>
      </w:r>
      <w:r>
        <w:rPr>
          <w:rFonts w:hint="eastAsia" w:ascii="宋体" w:hAnsi="宋体" w:cs="宋体"/>
          <w:szCs w:val="21"/>
        </w:rPr>
        <w:t>日产品总份额的</w:t>
      </w:r>
      <w:r>
        <w:rPr>
          <w:rFonts w:ascii="宋体" w:hAnsi="宋体" w:cs="宋体"/>
          <w:szCs w:val="21"/>
        </w:rPr>
        <w:t>10％时，为巨额赎回</w:t>
      </w:r>
      <w:r>
        <w:rPr>
          <w:rFonts w:hint="eastAsia" w:ascii="宋体" w:hAnsi="宋体" w:cs="宋体"/>
          <w:szCs w:val="21"/>
        </w:rPr>
        <w:t>，</w:t>
      </w:r>
      <w:r>
        <w:rPr>
          <w:rFonts w:hint="eastAsia" w:ascii="宋体" w:hAnsi="宋体" w:cs="宋体"/>
          <w:color w:val="000000"/>
        </w:rPr>
        <w:t>监管机构</w:t>
      </w:r>
      <w:r>
        <w:rPr>
          <w:rFonts w:hint="eastAsia" w:ascii="宋体" w:hAnsi="宋体" w:cs="宋体"/>
          <w:szCs w:val="21"/>
        </w:rPr>
        <w:t>另有规定的除外</w:t>
      </w:r>
      <w:r>
        <w:rPr>
          <w:rFonts w:ascii="宋体" w:hAnsi="宋体" w:cs="宋体"/>
          <w:szCs w:val="21"/>
        </w:rPr>
        <w:t>。</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2）巨额赎回的处理方式</w:t>
      </w:r>
    </w:p>
    <w:p>
      <w:pPr>
        <w:tabs>
          <w:tab w:val="left" w:pos="0"/>
        </w:tabs>
        <w:spacing w:line="360" w:lineRule="auto"/>
        <w:ind w:firstLine="420" w:firstLineChars="200"/>
        <w:rPr>
          <w:rFonts w:ascii="宋体" w:hAnsi="宋体" w:cs="宋体"/>
          <w:szCs w:val="21"/>
        </w:rPr>
      </w:pPr>
      <w:bookmarkStart w:id="11" w:name="OLE_LINK37"/>
      <w:r>
        <w:rPr>
          <w:rFonts w:hint="eastAsia" w:ascii="宋体" w:hAnsi="宋体" w:cs="宋体"/>
          <w:szCs w:val="21"/>
        </w:rPr>
        <w:t>出现巨额赎回时，产品管理人可以根据本产品当时的资产组合状况决定接受全额赎回或部分延期赎回。</w:t>
      </w:r>
    </w:p>
    <w:bookmarkEnd w:id="11"/>
    <w:p>
      <w:pPr>
        <w:tabs>
          <w:tab w:val="left" w:pos="0"/>
        </w:tabs>
        <w:spacing w:line="360" w:lineRule="auto"/>
        <w:ind w:firstLine="420" w:firstLineChars="200"/>
        <w:rPr>
          <w:rFonts w:ascii="宋体" w:hAnsi="宋体" w:cs="宋体"/>
          <w:szCs w:val="21"/>
        </w:rPr>
      </w:pPr>
      <w:r>
        <w:rPr>
          <w:rFonts w:hint="eastAsia" w:ascii="宋体" w:hAnsi="宋体" w:cs="宋体"/>
          <w:szCs w:val="21"/>
        </w:rPr>
        <w:t>①接受全额赎回：当产品管理人认为有能力兑付投资者的全部赎回申请时，按正常赎回程序执行。</w:t>
      </w:r>
    </w:p>
    <w:p>
      <w:pPr>
        <w:tabs>
          <w:tab w:val="left" w:pos="0"/>
        </w:tabs>
        <w:spacing w:line="360" w:lineRule="auto"/>
        <w:ind w:firstLine="420" w:firstLineChars="200"/>
        <w:rPr>
          <w:rFonts w:ascii="宋体" w:hAnsi="宋体" w:cs="宋体"/>
          <w:szCs w:val="21"/>
        </w:rPr>
      </w:pPr>
      <w:r>
        <w:rPr>
          <w:rFonts w:hint="eastAsia" w:ascii="宋体" w:hAnsi="宋体" w:cs="宋体"/>
          <w:szCs w:val="21"/>
        </w:rPr>
        <w:t>②部分延期赎回或暂停接受：当产品管理人认为兑付投资者的赎回申请可能会对产品的资产净值造成较大波动时，产品管理人在当日接受赎回比例不低于上一日产品总份额10%</w:t>
      </w:r>
      <w:r>
        <w:rPr>
          <w:rFonts w:ascii="宋体" w:hAnsi="宋体" w:cs="宋体"/>
          <w:szCs w:val="21"/>
        </w:rPr>
        <w:t>的前提下，有权延期办理其余赎回申</w:t>
      </w:r>
      <w:r>
        <w:rPr>
          <w:rFonts w:hint="eastAsia" w:ascii="宋体" w:hAnsi="宋体" w:cs="宋体"/>
          <w:szCs w:val="21"/>
        </w:rPr>
        <w:t>请或暂停接受</w:t>
      </w:r>
      <w:r>
        <w:rPr>
          <w:rFonts w:ascii="宋体" w:hAnsi="宋体" w:cs="宋体"/>
          <w:szCs w:val="21"/>
        </w:rPr>
        <w:t>其余赎回申请。对于当日的赎回申请，按单个账户赎回申请量占赎回申请总量的比例，确定当日受理的赎回份额；未受理部分除投资者赎回申请时选择将当日未获受理部分予以撤销者外</w:t>
      </w:r>
      <w:r>
        <w:rPr>
          <w:rFonts w:hint="eastAsia" w:ascii="宋体" w:hAnsi="宋体" w:cs="宋体"/>
          <w:szCs w:val="21"/>
        </w:rPr>
        <w:t>（具体交易功能以销售渠道规定为准）</w:t>
      </w:r>
      <w:r>
        <w:rPr>
          <w:rFonts w:ascii="宋体" w:hAnsi="宋体" w:cs="宋体"/>
          <w:szCs w:val="21"/>
        </w:rPr>
        <w:t>，延迟至</w:t>
      </w:r>
      <w:r>
        <w:rPr>
          <w:rFonts w:hint="eastAsia" w:ascii="宋体" w:hAnsi="宋体" w:cs="宋体"/>
          <w:szCs w:val="21"/>
        </w:rPr>
        <w:t>下一开放日</w:t>
      </w:r>
      <w:r>
        <w:rPr>
          <w:rFonts w:ascii="宋体" w:hAnsi="宋体" w:cs="宋体"/>
          <w:szCs w:val="21"/>
        </w:rPr>
        <w:t>办理</w:t>
      </w:r>
      <w:r>
        <w:rPr>
          <w:rFonts w:hint="eastAsia" w:ascii="宋体" w:hAnsi="宋体" w:cs="宋体"/>
          <w:szCs w:val="21"/>
        </w:rPr>
        <w:t>或暂停接受</w:t>
      </w:r>
      <w:r>
        <w:rPr>
          <w:rFonts w:ascii="宋体" w:hAnsi="宋体" w:cs="宋体"/>
          <w:szCs w:val="21"/>
        </w:rPr>
        <w:t>其余赎回申请。转入下一</w:t>
      </w:r>
      <w:r>
        <w:rPr>
          <w:rFonts w:hint="eastAsia" w:ascii="宋体" w:hAnsi="宋体" w:cs="宋体"/>
          <w:szCs w:val="21"/>
        </w:rPr>
        <w:t>开放日</w:t>
      </w:r>
      <w:r>
        <w:rPr>
          <w:rFonts w:ascii="宋体" w:hAnsi="宋体" w:cs="宋体"/>
          <w:szCs w:val="21"/>
        </w:rPr>
        <w:t>的赎回申请不享有赎回优先权并将以该下一</w:t>
      </w:r>
      <w:r>
        <w:rPr>
          <w:rFonts w:hint="eastAsia" w:ascii="宋体" w:hAnsi="宋体" w:cs="宋体"/>
          <w:szCs w:val="21"/>
        </w:rPr>
        <w:t>开放日</w:t>
      </w:r>
      <w:r>
        <w:rPr>
          <w:rFonts w:ascii="宋体" w:hAnsi="宋体" w:cs="宋体"/>
          <w:szCs w:val="21"/>
        </w:rPr>
        <w:t>的</w:t>
      </w:r>
      <w:r>
        <w:rPr>
          <w:rFonts w:hint="eastAsia" w:ascii="宋体" w:hAnsi="宋体" w:cs="宋体"/>
          <w:szCs w:val="21"/>
        </w:rPr>
        <w:t>产品份额净值为基准计算赎回金额，以此类推，直到全部赎回为止。</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3）本产品连续两个开放日及以上发生巨额赎回，如产品管理人认为有必要，</w:t>
      </w:r>
      <w:r>
        <w:rPr>
          <w:rFonts w:hint="eastAsia" w:ascii="宋体" w:hAnsi="宋体" w:cs="宋体"/>
          <w:szCs w:val="21"/>
        </w:rPr>
        <w:t>对于</w:t>
      </w:r>
      <w:r>
        <w:rPr>
          <w:rFonts w:ascii="宋体" w:hAnsi="宋体" w:cs="宋体"/>
          <w:szCs w:val="21"/>
        </w:rPr>
        <w:t>已经接受的赎回申请可以延缓支付赎回款项，但不得超过正常支付时间20个工作日，并进行公告。</w:t>
      </w:r>
    </w:p>
    <w:p>
      <w:pPr>
        <w:tabs>
          <w:tab w:val="left" w:pos="420"/>
          <w:tab w:val="left" w:pos="720"/>
        </w:tabs>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（四）收益分配</w:t>
      </w:r>
    </w:p>
    <w:p>
      <w:pPr>
        <w:tabs>
          <w:tab w:val="left" w:pos="0"/>
        </w:tabs>
        <w:spacing w:line="360" w:lineRule="auto"/>
        <w:ind w:firstLine="420" w:firstLineChars="200"/>
        <w:outlineLvl w:val="2"/>
        <w:rPr>
          <w:rFonts w:ascii="宋体" w:hAnsi="宋体" w:cs="宋体"/>
          <w:szCs w:val="21"/>
        </w:rPr>
      </w:pPr>
      <w:r>
        <w:rPr>
          <w:rFonts w:ascii="宋体" w:hAnsi="宋体" w:cs="宋体"/>
          <w:szCs w:val="21"/>
        </w:rPr>
        <w:t>1.产品利润的构成</w:t>
      </w:r>
    </w:p>
    <w:p>
      <w:pPr>
        <w:tabs>
          <w:tab w:val="left" w:pos="0"/>
        </w:tabs>
        <w:spacing w:line="360" w:lineRule="auto"/>
        <w:ind w:firstLine="420" w:firstLineChars="200"/>
        <w:rPr>
          <w:rFonts w:ascii="宋体" w:hAnsi="宋体" w:cs="宋体"/>
          <w:szCs w:val="21"/>
        </w:rPr>
      </w:pPr>
      <w:r>
        <w:rPr>
          <w:rFonts w:ascii="宋体" w:hAnsi="宋体" w:cs="宋体"/>
          <w:szCs w:val="21"/>
        </w:rPr>
        <w:t>理财产品利润指产品的利息收入、投资收益、公允价值变动收益和其他收入扣除相关费用后的余额，理财产品已实现收益指产品利润减去公允价值变动收益后的余额。</w:t>
      </w:r>
    </w:p>
    <w:p>
      <w:pPr>
        <w:tabs>
          <w:tab w:val="left" w:pos="0"/>
        </w:tabs>
        <w:spacing w:line="360" w:lineRule="auto"/>
        <w:ind w:firstLine="420" w:firstLineChars="200"/>
        <w:outlineLvl w:val="2"/>
        <w:rPr>
          <w:rFonts w:ascii="宋体" w:hAnsi="宋体" w:cs="宋体"/>
          <w:szCs w:val="21"/>
        </w:rPr>
      </w:pPr>
      <w:r>
        <w:rPr>
          <w:rFonts w:ascii="宋体" w:hAnsi="宋体" w:cs="宋体"/>
          <w:szCs w:val="21"/>
        </w:rPr>
        <w:t>2.产品可供分配利润</w:t>
      </w:r>
    </w:p>
    <w:p>
      <w:pPr>
        <w:tabs>
          <w:tab w:val="left" w:pos="0"/>
        </w:tabs>
        <w:spacing w:line="360" w:lineRule="auto"/>
        <w:ind w:firstLine="420" w:firstLineChars="200"/>
        <w:rPr>
          <w:rFonts w:ascii="宋体" w:hAnsi="宋体" w:cs="宋体"/>
          <w:szCs w:val="21"/>
        </w:rPr>
      </w:pPr>
      <w:r>
        <w:rPr>
          <w:rFonts w:ascii="宋体" w:hAnsi="宋体" w:cs="宋体"/>
          <w:szCs w:val="21"/>
        </w:rPr>
        <w:t>产品可供分配利润指截至收益分配基准日产品未分配利润与未分配利润中已实现收益的孰低数。</w:t>
      </w:r>
    </w:p>
    <w:p>
      <w:pPr>
        <w:tabs>
          <w:tab w:val="left" w:pos="0"/>
        </w:tabs>
        <w:spacing w:line="360" w:lineRule="auto"/>
        <w:ind w:firstLine="420" w:firstLineChars="200"/>
        <w:outlineLvl w:val="2"/>
        <w:rPr>
          <w:rFonts w:ascii="宋体" w:hAnsi="宋体" w:cs="宋体"/>
          <w:szCs w:val="21"/>
        </w:rPr>
      </w:pPr>
      <w:r>
        <w:rPr>
          <w:rFonts w:ascii="宋体" w:hAnsi="宋体" w:cs="宋体"/>
          <w:szCs w:val="21"/>
        </w:rPr>
        <w:t>3.收益分配原则</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）同一类别每份</w:t>
      </w:r>
      <w:r>
        <w:rPr>
          <w:rFonts w:ascii="宋体" w:hAnsi="宋体" w:cs="宋体"/>
          <w:szCs w:val="21"/>
        </w:rPr>
        <w:t>产品份额享有同等分配权。</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2）在满足收益分配基准日理财产品份额净值大于1元的条件下，产品管理人将根据产品投资收益情况决定分配基准日、当次分配比例和金额，产品收益分配基准日</w:t>
      </w:r>
      <w:r>
        <w:rPr>
          <w:rFonts w:hint="eastAsia" w:ascii="宋体" w:hAnsi="宋体" w:cs="宋体"/>
          <w:szCs w:val="21"/>
        </w:rPr>
        <w:t>各类产品份额的份额净值减去该类产品份额每单位产品份额</w:t>
      </w:r>
      <w:r>
        <w:rPr>
          <w:rFonts w:ascii="宋体" w:hAnsi="宋体" w:cs="宋体"/>
          <w:szCs w:val="21"/>
        </w:rPr>
        <w:t>收益分配金额后不能低于1；并将于产品收益分配</w:t>
      </w:r>
      <w:r>
        <w:rPr>
          <w:rFonts w:hint="eastAsia" w:ascii="宋体" w:hAnsi="宋体" w:cs="宋体"/>
          <w:szCs w:val="21"/>
        </w:rPr>
        <w:t>前</w:t>
      </w:r>
      <w:r>
        <w:rPr>
          <w:rFonts w:ascii="宋体" w:hAnsi="宋体" w:cs="宋体"/>
          <w:szCs w:val="21"/>
        </w:rPr>
        <w:t>2个工作日按照本产品说明书约定方式进行信息披露。</w:t>
      </w:r>
    </w:p>
    <w:p>
      <w:pPr>
        <w:tabs>
          <w:tab w:val="left" w:pos="0"/>
        </w:tabs>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法律法规或监管</w:t>
      </w:r>
      <w:r>
        <w:rPr>
          <w:rFonts w:hint="eastAsia" w:ascii="宋体" w:hAnsi="宋体" w:cs="宋体"/>
          <w:szCs w:val="21"/>
          <w:lang w:val="en-US" w:eastAsia="zh-CN"/>
        </w:rPr>
        <w:t>机构</w:t>
      </w:r>
      <w:r>
        <w:rPr>
          <w:rFonts w:ascii="宋体" w:hAnsi="宋体" w:cs="宋体"/>
          <w:szCs w:val="21"/>
        </w:rPr>
        <w:t>另有规定的，从其规定。</w:t>
      </w:r>
    </w:p>
    <w:p>
      <w:pPr>
        <w:tabs>
          <w:tab w:val="left" w:pos="0"/>
        </w:tabs>
        <w:spacing w:line="360" w:lineRule="auto"/>
        <w:ind w:firstLine="420" w:firstLineChars="200"/>
        <w:outlineLvl w:val="2"/>
        <w:rPr>
          <w:rFonts w:ascii="宋体" w:hAnsi="宋体" w:cs="宋体"/>
          <w:szCs w:val="21"/>
        </w:rPr>
      </w:pPr>
      <w:r>
        <w:rPr>
          <w:rFonts w:ascii="宋体" w:hAnsi="宋体" w:cs="宋体"/>
          <w:szCs w:val="21"/>
        </w:rPr>
        <w:t>4.收益分配方式</w:t>
      </w:r>
    </w:p>
    <w:p>
      <w:pPr>
        <w:tabs>
          <w:tab w:val="left" w:pos="0"/>
        </w:tabs>
        <w:spacing w:line="360" w:lineRule="auto"/>
        <w:ind w:firstLine="420" w:firstLineChars="200"/>
        <w:rPr>
          <w:rFonts w:ascii="宋体" w:hAnsi="宋体" w:cs="宋体"/>
          <w:szCs w:val="21"/>
        </w:rPr>
      </w:pPr>
      <w:r>
        <w:rPr>
          <w:rFonts w:hint="eastAsia" w:ascii="宋体" w:hAnsi="宋体" w:cs="宋体"/>
          <w:szCs w:val="21"/>
        </w:rPr>
        <w:t>收益分配方式为现金分红。</w:t>
      </w:r>
    </w:p>
    <w:p>
      <w:pPr>
        <w:tabs>
          <w:tab w:val="left" w:pos="0"/>
        </w:tabs>
        <w:spacing w:line="360" w:lineRule="auto"/>
        <w:ind w:firstLine="420" w:firstLineChars="200"/>
        <w:outlineLvl w:val="2"/>
        <w:rPr>
          <w:rFonts w:ascii="宋体" w:hAnsi="宋体" w:cs="宋体"/>
          <w:szCs w:val="21"/>
        </w:rPr>
      </w:pPr>
      <w:r>
        <w:rPr>
          <w:rFonts w:ascii="宋体" w:hAnsi="宋体" w:cs="宋体"/>
          <w:szCs w:val="21"/>
        </w:rPr>
        <w:t>5.投资收益</w:t>
      </w:r>
      <w:r>
        <w:rPr>
          <w:rFonts w:hint="eastAsia" w:ascii="宋体" w:hAnsi="宋体" w:cs="宋体"/>
          <w:szCs w:val="21"/>
        </w:rPr>
        <w:t>分配</w:t>
      </w:r>
      <w:r>
        <w:rPr>
          <w:rFonts w:ascii="宋体" w:hAnsi="宋体" w:cs="宋体"/>
          <w:szCs w:val="21"/>
        </w:rPr>
        <w:t>计算示例</w:t>
      </w:r>
    </w:p>
    <w:p>
      <w:pPr>
        <w:tabs>
          <w:tab w:val="left" w:pos="420"/>
          <w:tab w:val="left" w:pos="720"/>
        </w:tabs>
        <w:spacing w:line="360" w:lineRule="auto"/>
        <w:ind w:firstLine="422" w:firstLineChars="200"/>
        <w:rPr>
          <w:rFonts w:ascii="宋体" w:hAnsi="宋体" w:cs="宋体"/>
          <w:snapToGrid w:val="0"/>
          <w:szCs w:val="21"/>
        </w:rPr>
      </w:pPr>
      <w:r>
        <w:rPr>
          <w:rFonts w:hint="eastAsia" w:ascii="宋体" w:hAnsi="宋体" w:cs="宋体"/>
          <w:b/>
          <w:bCs/>
          <w:snapToGrid w:val="0"/>
          <w:szCs w:val="21"/>
        </w:rPr>
        <w:t>以下示例均为假设情况，不代表本产品实际投资业绩</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w:t>
      </w:r>
      <w:r>
        <w:rPr>
          <w:rFonts w:ascii="宋体" w:hAnsi="宋体" w:cs="宋体"/>
          <w:snapToGrid w:val="0"/>
          <w:szCs w:val="21"/>
        </w:rPr>
        <w:t>1）情景一</w:t>
      </w:r>
    </w:p>
    <w:p>
      <w:pPr>
        <w:spacing w:line="360" w:lineRule="auto"/>
        <w:ind w:firstLine="420" w:firstLineChars="200"/>
        <w:rPr>
          <w:rFonts w:ascii="宋体" w:hAnsi="宋体" w:cs="宋体"/>
          <w:bCs/>
          <w:kern w:val="0"/>
          <w:szCs w:val="21"/>
          <w:lang w:bidi="bn-IN"/>
        </w:rPr>
      </w:pPr>
      <w:r>
        <w:rPr>
          <w:rFonts w:ascii="宋体" w:hAnsi="宋体" w:cs="宋体"/>
          <w:bCs/>
          <w:kern w:val="0"/>
          <w:szCs w:val="21"/>
          <w:lang w:bidi="bn-IN"/>
        </w:rPr>
        <w:t>假定投资者初始投资100万元，产品份额净值为1，投资者认购份额为100万份，在登记日投资者持有份额为100万份，理财产品每单位份额分红金额0.047元，则投资收益按照如下方式计算：</w:t>
      </w:r>
    </w:p>
    <w:p>
      <w:pPr>
        <w:tabs>
          <w:tab w:val="left" w:pos="420"/>
          <w:tab w:val="left" w:pos="720"/>
        </w:tabs>
        <w:spacing w:line="360" w:lineRule="auto"/>
        <w:ind w:firstLine="420" w:firstLineChars="200"/>
        <w:rPr>
          <w:rFonts w:ascii="宋体" w:hAnsi="宋体" w:cs="宋体"/>
          <w:bCs/>
          <w:kern w:val="0"/>
          <w:szCs w:val="21"/>
          <w:lang w:bidi="bn-IN"/>
        </w:rPr>
      </w:pPr>
      <w:r>
        <w:rPr>
          <w:rFonts w:ascii="宋体" w:hAnsi="宋体" w:cs="宋体"/>
          <w:bCs/>
          <w:kern w:val="0"/>
          <w:szCs w:val="21"/>
          <w:lang w:bidi="bn-IN"/>
        </w:rPr>
        <w:t>投资收益</w:t>
      </w:r>
      <w:r>
        <w:rPr>
          <w:rFonts w:hint="eastAsia" w:ascii="宋体" w:hAnsi="宋体" w:cs="宋体"/>
          <w:szCs w:val="21"/>
        </w:rPr>
        <w:t>分配</w:t>
      </w:r>
      <w:r>
        <w:rPr>
          <w:rFonts w:ascii="宋体" w:hAnsi="宋体" w:cs="宋体"/>
          <w:bCs/>
          <w:kern w:val="0"/>
          <w:szCs w:val="21"/>
          <w:lang w:bidi="bn-IN"/>
        </w:rPr>
        <w:t>金额=登记日投资者持有产品份额×理财产品每单位份额分红金额。即：投资收益</w:t>
      </w:r>
      <w:r>
        <w:rPr>
          <w:rFonts w:hint="eastAsia" w:ascii="宋体" w:hAnsi="宋体" w:cs="宋体"/>
          <w:szCs w:val="21"/>
        </w:rPr>
        <w:t>分配</w:t>
      </w:r>
      <w:r>
        <w:rPr>
          <w:rFonts w:ascii="宋体" w:hAnsi="宋体" w:cs="宋体"/>
          <w:bCs/>
          <w:kern w:val="0"/>
          <w:szCs w:val="21"/>
          <w:lang w:bidi="bn-IN"/>
        </w:rPr>
        <w:t>金额=100万份×0.047元=4.7万元。</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w:t>
      </w:r>
      <w:r>
        <w:rPr>
          <w:rFonts w:ascii="宋体" w:hAnsi="宋体" w:cs="宋体"/>
          <w:snapToGrid w:val="0"/>
          <w:szCs w:val="21"/>
        </w:rPr>
        <w:t>2</w:t>
      </w:r>
      <w:r>
        <w:rPr>
          <w:rFonts w:hint="eastAsia" w:ascii="宋体" w:hAnsi="宋体" w:cs="宋体"/>
          <w:snapToGrid w:val="0"/>
          <w:szCs w:val="21"/>
        </w:rPr>
        <w:t>）情景二</w:t>
      </w:r>
    </w:p>
    <w:p>
      <w:pPr>
        <w:tabs>
          <w:tab w:val="left" w:pos="420"/>
          <w:tab w:val="left" w:pos="720"/>
        </w:tabs>
        <w:spacing w:line="360" w:lineRule="auto"/>
        <w:ind w:firstLine="420" w:firstLineChars="200"/>
        <w:rPr>
          <w:rFonts w:ascii="宋体" w:hAnsi="宋体" w:cs="宋体"/>
          <w:bCs/>
          <w:kern w:val="0"/>
          <w:szCs w:val="21"/>
          <w:lang w:bidi="bn-IN"/>
        </w:rPr>
      </w:pPr>
      <w:r>
        <w:rPr>
          <w:rFonts w:ascii="宋体" w:hAnsi="宋体" w:cs="宋体"/>
          <w:bCs/>
          <w:kern w:val="0"/>
          <w:szCs w:val="21"/>
          <w:lang w:bidi="bn-IN"/>
        </w:rPr>
        <w:t>假定投资者初始投资100万元，产品份额净值为1，投资者认购份额为100万份，在登记日投资者持有份额为100万份，在收益分配基准日产品份额净值为0.96，则不进行收益分配。</w:t>
      </w:r>
    </w:p>
    <w:p>
      <w:pPr>
        <w:tabs>
          <w:tab w:val="left" w:pos="420"/>
          <w:tab w:val="left" w:pos="720"/>
        </w:tabs>
        <w:spacing w:line="360" w:lineRule="auto"/>
        <w:ind w:firstLine="422" w:firstLineChars="200"/>
        <w:rPr>
          <w:rFonts w:ascii="宋体" w:hAnsi="宋体" w:cs="宋体"/>
          <w:b/>
          <w:bCs/>
          <w:snapToGrid w:val="0"/>
          <w:szCs w:val="21"/>
        </w:rPr>
      </w:pPr>
      <w:r>
        <w:rPr>
          <w:rFonts w:ascii="宋体" w:hAnsi="宋体" w:cs="宋体"/>
          <w:b/>
          <w:bCs/>
          <w:snapToGrid w:val="0"/>
          <w:szCs w:val="21"/>
        </w:rPr>
        <w:t>在最不利的情况下，投资者可能损失100%本金。</w:t>
      </w:r>
    </w:p>
    <w:p>
      <w:pPr>
        <w:tabs>
          <w:tab w:val="left" w:pos="420"/>
          <w:tab w:val="left" w:pos="720"/>
        </w:tabs>
        <w:spacing w:line="360" w:lineRule="auto"/>
        <w:ind w:firstLine="422" w:firstLineChars="200"/>
        <w:rPr>
          <w:rFonts w:ascii="宋体" w:hAnsi="宋体" w:cs="宋体"/>
          <w:b/>
          <w:bCs/>
          <w:snapToGrid w:val="0"/>
          <w:szCs w:val="21"/>
        </w:rPr>
      </w:pPr>
      <w:r>
        <w:rPr>
          <w:rFonts w:hint="eastAsia" w:ascii="宋体" w:hAnsi="宋体" w:cs="宋体"/>
          <w:b/>
          <w:bCs/>
          <w:snapToGrid w:val="0"/>
          <w:szCs w:val="21"/>
        </w:rPr>
        <w:t>上述情况假设仅用于向投资者示例收益计算方法之用，并</w:t>
      </w:r>
      <w:r>
        <w:rPr>
          <w:rFonts w:hint="eastAsia" w:ascii="宋体" w:hAnsi="宋体"/>
          <w:b/>
          <w:bCs/>
          <w:szCs w:val="21"/>
        </w:rPr>
        <w:t>非</w:t>
      </w:r>
      <w:r>
        <w:rPr>
          <w:rFonts w:hint="eastAsia" w:ascii="宋体" w:hAnsi="宋体" w:cs="宋体"/>
          <w:b/>
          <w:bCs/>
          <w:snapToGrid w:val="0"/>
          <w:szCs w:val="21"/>
        </w:rPr>
        <w:t>管理人对实际投资情况的预期判断，并不代表以上所有情形或某一情形一定会发生，或管理人认为发生的可能性很大。投资者获得的最终收益以产品实际运作表现管理人实际支付为准。</w:t>
      </w:r>
    </w:p>
    <w:p>
      <w:pPr>
        <w:tabs>
          <w:tab w:val="left" w:pos="420"/>
          <w:tab w:val="left" w:pos="720"/>
        </w:tabs>
        <w:spacing w:line="360" w:lineRule="auto"/>
        <w:ind w:firstLine="422" w:firstLineChars="200"/>
        <w:outlineLvl w:val="1"/>
        <w:rPr>
          <w:rFonts w:ascii="宋体" w:hAnsi="宋体" w:cs="宋体"/>
          <w:b/>
          <w:bCs/>
          <w:snapToGrid w:val="0"/>
          <w:szCs w:val="21"/>
        </w:rPr>
      </w:pPr>
      <w:r>
        <w:rPr>
          <w:rFonts w:hint="eastAsia" w:ascii="宋体" w:hAnsi="宋体" w:cs="宋体"/>
          <w:b/>
          <w:bCs/>
          <w:snapToGrid w:val="0"/>
          <w:szCs w:val="21"/>
        </w:rPr>
        <w:t>（五）产品提前终止</w:t>
      </w:r>
    </w:p>
    <w:p>
      <w:pPr>
        <w:tabs>
          <w:tab w:val="left" w:pos="420"/>
          <w:tab w:val="left" w:pos="720"/>
        </w:tabs>
        <w:spacing w:line="360" w:lineRule="auto"/>
        <w:ind w:firstLine="420" w:firstLineChars="200"/>
        <w:outlineLvl w:val="2"/>
        <w:rPr>
          <w:rFonts w:ascii="宋体" w:hAnsi="宋体" w:cs="宋体"/>
          <w:snapToGrid w:val="0"/>
          <w:szCs w:val="21"/>
        </w:rPr>
      </w:pPr>
      <w:r>
        <w:rPr>
          <w:rFonts w:ascii="宋体" w:hAnsi="宋体" w:cs="宋体"/>
          <w:snapToGrid w:val="0"/>
          <w:szCs w:val="21"/>
        </w:rPr>
        <w:t>1.提前终止原因</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本产品存续期内如遇监管机构要求或法律法规规定需要终止产品，或自然灾害、疫情、严重传染病、金融市场危机、战争、国家政策变化等不可抗力因素及</w:t>
      </w:r>
      <w:r>
        <w:rPr>
          <w:rFonts w:ascii="宋体" w:hAnsi="宋体" w:cs="宋体"/>
          <w:snapToGrid w:val="0"/>
          <w:szCs w:val="21"/>
        </w:rPr>
        <w:t>/或意外事件导致本产品无法正常运作，或产品总份额连续90个交易所工作日低于</w:t>
      </w:r>
      <w:r>
        <w:rPr>
          <w:rFonts w:hint="eastAsia" w:ascii="宋体" w:hAnsi="宋体" w:cs="宋体"/>
          <w:snapToGrid w:val="0"/>
          <w:szCs w:val="21"/>
          <w:lang w:val="en-US" w:eastAsia="zh-CN"/>
        </w:rPr>
        <w:t>3000</w:t>
      </w:r>
      <w:r>
        <w:rPr>
          <w:rFonts w:hint="eastAsia" w:ascii="宋体" w:hAnsi="宋体" w:cs="宋体"/>
          <w:snapToGrid w:val="0"/>
          <w:szCs w:val="21"/>
        </w:rPr>
        <w:t>万</w:t>
      </w:r>
      <w:r>
        <w:rPr>
          <w:rFonts w:ascii="宋体" w:hAnsi="宋体" w:cs="宋体"/>
          <w:snapToGrid w:val="0"/>
          <w:szCs w:val="21"/>
        </w:rPr>
        <w:t>份，或产品资产净值连续90个交易所工作日低于人民币</w:t>
      </w:r>
      <w:r>
        <w:rPr>
          <w:rFonts w:hint="eastAsia" w:ascii="宋体" w:hAnsi="宋体" w:cs="宋体"/>
          <w:snapToGrid w:val="0"/>
          <w:szCs w:val="21"/>
          <w:lang w:val="en-US" w:eastAsia="zh-CN"/>
        </w:rPr>
        <w:t>3000</w:t>
      </w:r>
      <w:r>
        <w:rPr>
          <w:rFonts w:hint="eastAsia" w:ascii="宋体" w:hAnsi="宋体" w:cs="宋体"/>
          <w:snapToGrid w:val="0"/>
          <w:szCs w:val="21"/>
        </w:rPr>
        <w:t>万元</w:t>
      </w:r>
      <w:r>
        <w:rPr>
          <w:rFonts w:ascii="宋体" w:hAnsi="宋体" w:cs="宋体"/>
          <w:snapToGrid w:val="0"/>
          <w:szCs w:val="21"/>
        </w:rPr>
        <w:t>，产品管理人有权提前终止本产品。</w:t>
      </w:r>
    </w:p>
    <w:p>
      <w:pPr>
        <w:tabs>
          <w:tab w:val="left" w:pos="420"/>
          <w:tab w:val="left" w:pos="720"/>
        </w:tabs>
        <w:spacing w:line="360" w:lineRule="auto"/>
        <w:ind w:firstLine="420" w:firstLineChars="200"/>
        <w:outlineLvl w:val="2"/>
        <w:rPr>
          <w:rFonts w:ascii="宋体" w:hAnsi="宋体" w:cs="宋体"/>
          <w:snapToGrid w:val="0"/>
          <w:szCs w:val="21"/>
        </w:rPr>
      </w:pPr>
      <w:r>
        <w:rPr>
          <w:rFonts w:ascii="宋体" w:hAnsi="宋体" w:cs="宋体"/>
          <w:snapToGrid w:val="0"/>
          <w:szCs w:val="21"/>
        </w:rPr>
        <w:t>2.提前终止公告</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如理财产品管理人提前终止本理财产品，将至少提前</w:t>
      </w:r>
      <w:r>
        <w:rPr>
          <w:rFonts w:ascii="宋体" w:hAnsi="宋体" w:cs="宋体"/>
          <w:snapToGrid w:val="0"/>
          <w:szCs w:val="21"/>
        </w:rPr>
        <w:t>2个工作日（含）通过相应信息披露渠道予以披露。提前终止日</w:t>
      </w:r>
      <w:r>
        <w:rPr>
          <w:rFonts w:hint="eastAsia" w:ascii="宋体" w:hAnsi="宋体" w:cs="宋体"/>
          <w:snapToGrid w:val="0"/>
          <w:szCs w:val="21"/>
        </w:rPr>
        <w:t>后</w:t>
      </w:r>
      <w:r>
        <w:rPr>
          <w:rFonts w:ascii="宋体" w:hAnsi="宋体" w:cs="宋体"/>
          <w:snapToGrid w:val="0"/>
          <w:szCs w:val="21"/>
        </w:rPr>
        <w:t>至资金实际到账日期间不计息。</w:t>
      </w:r>
    </w:p>
    <w:p>
      <w:pPr>
        <w:pStyle w:val="8"/>
        <w:widowControl/>
        <w:spacing w:before="0" w:beforeAutospacing="0" w:after="0" w:afterAutospacing="0" w:line="360" w:lineRule="auto"/>
        <w:ind w:firstLine="397"/>
        <w:jc w:val="both"/>
        <w:outlineLvl w:val="1"/>
        <w:rPr>
          <w:rFonts w:ascii="宋体" w:hAnsi="宋体" w:cs="宋体"/>
          <w:b/>
          <w:bCs/>
          <w:snapToGrid w:val="0"/>
          <w:kern w:val="2"/>
          <w:sz w:val="21"/>
          <w:szCs w:val="21"/>
        </w:rPr>
      </w:pPr>
      <w:bookmarkStart w:id="12" w:name="OLE_LINK38"/>
      <w:r>
        <w:rPr>
          <w:rFonts w:hint="eastAsia" w:ascii="宋体" w:hAnsi="宋体" w:cs="宋体"/>
          <w:b/>
          <w:bCs/>
          <w:snapToGrid w:val="0"/>
          <w:kern w:val="2"/>
          <w:sz w:val="21"/>
          <w:szCs w:val="21"/>
        </w:rPr>
        <w:t>（六）产品终止清算</w:t>
      </w:r>
    </w:p>
    <w:p>
      <w:pPr>
        <w:tabs>
          <w:tab w:val="left" w:pos="420"/>
          <w:tab w:val="left" w:pos="720"/>
        </w:tabs>
        <w:spacing w:line="360" w:lineRule="auto"/>
        <w:ind w:firstLine="420" w:firstLineChars="200"/>
        <w:rPr>
          <w:rFonts w:ascii="宋体" w:hAnsi="宋体" w:cs="宋体"/>
          <w:snapToGrid w:val="0"/>
          <w:szCs w:val="21"/>
        </w:rPr>
      </w:pPr>
      <w:r>
        <w:rPr>
          <w:rFonts w:ascii="宋体" w:hAnsi="宋体" w:cs="宋体"/>
          <w:snapToGrid w:val="0"/>
          <w:szCs w:val="21"/>
        </w:rPr>
        <w:t>1.自本理财产品终止日</w:t>
      </w:r>
      <w:r>
        <w:rPr>
          <w:rFonts w:hint="eastAsia" w:ascii="宋体" w:hAnsi="宋体" w:cs="宋体"/>
          <w:snapToGrid w:val="0"/>
          <w:szCs w:val="21"/>
        </w:rPr>
        <w:t>后</w:t>
      </w:r>
      <w:r>
        <w:rPr>
          <w:rFonts w:ascii="宋体" w:hAnsi="宋体" w:cs="宋体"/>
          <w:snapToGrid w:val="0"/>
          <w:szCs w:val="21"/>
        </w:rPr>
        <w:t>至投资者理财本金及收益到账日之间为本理财产品的清算期。清算期不计算利息或投资收益。清算期原则上不得超过5个工作日，清算期超过5个工作日的将及时进行公告。产品终止后，</w:t>
      </w:r>
      <w:r>
        <w:rPr>
          <w:rFonts w:hint="eastAsia" w:ascii="宋体" w:hAnsi="宋体"/>
          <w:szCs w:val="21"/>
        </w:rPr>
        <w:t>管理人将对终止日各类产品份额期末可分配资金，按投资者持有的该类产品份额比例进行分配</w:t>
      </w:r>
      <w:r>
        <w:rPr>
          <w:rFonts w:hint="eastAsia" w:ascii="宋体" w:hAnsi="宋体" w:cs="宋体"/>
          <w:snapToGrid w:val="0"/>
          <w:szCs w:val="21"/>
        </w:rPr>
        <w:t>。</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投资者最后分配金额</w:t>
      </w:r>
      <w:r>
        <w:rPr>
          <w:rFonts w:ascii="宋体" w:hAnsi="宋体" w:cs="宋体"/>
          <w:snapToGrid w:val="0"/>
          <w:szCs w:val="21"/>
        </w:rPr>
        <w:t>=投资者持有</w:t>
      </w:r>
      <w:r>
        <w:rPr>
          <w:rFonts w:hint="eastAsia" w:ascii="宋体" w:hAnsi="宋体" w:cs="宋体"/>
          <w:szCs w:val="21"/>
        </w:rPr>
        <w:t>该类</w:t>
      </w:r>
      <w:r>
        <w:rPr>
          <w:rFonts w:hint="eastAsia" w:ascii="宋体" w:hAnsi="宋体" w:cs="宋体"/>
          <w:snapToGrid w:val="0"/>
          <w:szCs w:val="21"/>
        </w:rPr>
        <w:t>份额比例×产品存续期末</w:t>
      </w:r>
      <w:r>
        <w:rPr>
          <w:rFonts w:hint="eastAsia" w:ascii="宋体" w:hAnsi="宋体" w:cs="宋体"/>
          <w:szCs w:val="21"/>
        </w:rPr>
        <w:t>该类份额</w:t>
      </w:r>
      <w:r>
        <w:rPr>
          <w:rFonts w:hint="eastAsia" w:ascii="宋体" w:hAnsi="宋体" w:cs="宋体"/>
          <w:snapToGrid w:val="0"/>
          <w:szCs w:val="21"/>
        </w:rPr>
        <w:t>可分配资金</w:t>
      </w:r>
      <w:r>
        <w:rPr>
          <w:rFonts w:ascii="宋体" w:hAnsi="宋体" w:cs="宋体"/>
          <w:snapToGrid w:val="0"/>
          <w:szCs w:val="21"/>
        </w:rPr>
        <w:t>。</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投资者持有</w:t>
      </w:r>
      <w:r>
        <w:rPr>
          <w:rFonts w:hint="eastAsia" w:ascii="宋体" w:hAnsi="宋体" w:cs="宋体"/>
          <w:szCs w:val="21"/>
        </w:rPr>
        <w:t>该类</w:t>
      </w:r>
      <w:r>
        <w:rPr>
          <w:rFonts w:hint="eastAsia" w:ascii="宋体" w:hAnsi="宋体" w:cs="宋体"/>
          <w:snapToGrid w:val="0"/>
          <w:szCs w:val="21"/>
        </w:rPr>
        <w:t>份额比例</w:t>
      </w:r>
      <w:r>
        <w:rPr>
          <w:rFonts w:ascii="宋体" w:hAnsi="宋体" w:cs="宋体"/>
          <w:snapToGrid w:val="0"/>
          <w:szCs w:val="21"/>
        </w:rPr>
        <w:t>=投资者持有</w:t>
      </w:r>
      <w:r>
        <w:rPr>
          <w:rFonts w:hint="eastAsia" w:ascii="宋体" w:hAnsi="宋体" w:cs="宋体"/>
          <w:szCs w:val="21"/>
        </w:rPr>
        <w:t>该类</w:t>
      </w:r>
      <w:r>
        <w:rPr>
          <w:rFonts w:hint="eastAsia" w:ascii="宋体" w:hAnsi="宋体" w:cs="宋体"/>
          <w:snapToGrid w:val="0"/>
          <w:szCs w:val="21"/>
        </w:rPr>
        <w:t>份额÷产品</w:t>
      </w:r>
      <w:r>
        <w:rPr>
          <w:rFonts w:hint="eastAsia" w:ascii="宋体" w:hAnsi="宋体" w:cs="宋体"/>
          <w:szCs w:val="21"/>
        </w:rPr>
        <w:t>该类份额</w:t>
      </w:r>
      <w:r>
        <w:rPr>
          <w:rFonts w:hint="eastAsia" w:ascii="宋体" w:hAnsi="宋体" w:cs="宋体"/>
          <w:snapToGrid w:val="0"/>
          <w:szCs w:val="21"/>
        </w:rPr>
        <w:t>总份额。</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2.出现以下情况，产品管理人有权延长本理财产品的资金到账日：</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（1）因市场成交量不足、资产限制赎回、暂停交易、缺乏意愿交易对手等原因，导致产品项下对应的投资标的无法及时变现；</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（2）所投资产发生风险；</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（3）因不可抗力等原因，导致产品管理人接受赎回申请后无法兑付；</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（4）其他产品管理人认为需要延期兑付的情形。</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产品管理人确定延长本理财产品资金到账日的，应依据约定进行公告。</w:t>
      </w:r>
    </w:p>
    <w:p>
      <w:pPr>
        <w:tabs>
          <w:tab w:val="left" w:pos="420"/>
          <w:tab w:val="left" w:pos="720"/>
        </w:tabs>
        <w:spacing w:line="360" w:lineRule="auto"/>
        <w:ind w:firstLine="420" w:firstLineChars="200"/>
        <w:rPr>
          <w:rFonts w:ascii="宋体" w:hAnsi="宋体" w:cs="宋体"/>
          <w:snapToGrid w:val="0"/>
          <w:szCs w:val="21"/>
        </w:rPr>
      </w:pPr>
      <w:r>
        <w:rPr>
          <w:rFonts w:hint="eastAsia" w:ascii="宋体" w:hAnsi="宋体" w:cs="宋体"/>
          <w:snapToGrid w:val="0"/>
          <w:szCs w:val="21"/>
        </w:rPr>
        <w:t>3</w:t>
      </w:r>
      <w:r>
        <w:rPr>
          <w:rFonts w:ascii="宋体" w:hAnsi="宋体" w:cs="宋体"/>
          <w:snapToGrid w:val="0"/>
          <w:szCs w:val="21"/>
        </w:rPr>
        <w:t>.由于产品资产延迟变现等原因，本产品存在需要进行二次或多次清算的可能。如产品管理人拟进行二次或多次清算的，应向投资者进行披露。在进行二次或多次清算的变现过程中，变现的资金以现金保存，不得再进行投资。</w:t>
      </w:r>
    </w:p>
    <w:bookmarkEnd w:id="12"/>
    <w:p>
      <w:pPr>
        <w:tabs>
          <w:tab w:val="left" w:pos="420"/>
          <w:tab w:val="left" w:pos="720"/>
        </w:tabs>
        <w:spacing w:line="360" w:lineRule="auto"/>
        <w:ind w:firstLine="440" w:firstLineChars="200"/>
        <w:jc w:val="left"/>
        <w:rPr>
          <w:rFonts w:ascii="宋体" w:hAnsi="宋体" w:cs="宋体"/>
          <w:snapToGrid w:val="0"/>
          <w:sz w:val="22"/>
        </w:rPr>
      </w:pPr>
    </w:p>
    <w:p>
      <w:pPr>
        <w:spacing w:line="360" w:lineRule="auto"/>
        <w:jc w:val="center"/>
        <w:outlineLvl w:val="0"/>
        <w:rPr>
          <w:rFonts w:ascii="宋体" w:hAnsi="宋体" w:cs="宋体"/>
          <w:b/>
          <w:bCs/>
          <w:sz w:val="28"/>
          <w:szCs w:val="28"/>
        </w:rPr>
      </w:pPr>
      <w:r>
        <w:rPr>
          <w:rFonts w:hint="eastAsia" w:ascii="宋体" w:hAnsi="宋体" w:cs="宋体"/>
          <w:b/>
          <w:bCs/>
          <w:sz w:val="28"/>
          <w:szCs w:val="28"/>
        </w:rPr>
        <w:t>七、产品费用及税收</w:t>
      </w:r>
    </w:p>
    <w:p>
      <w:pPr>
        <w:pStyle w:val="8"/>
        <w:widowControl/>
        <w:spacing w:before="0" w:beforeAutospacing="0" w:after="0" w:afterAutospacing="0" w:line="360" w:lineRule="auto"/>
        <w:ind w:firstLine="422" w:firstLineChars="200"/>
        <w:jc w:val="both"/>
        <w:outlineLvl w:val="1"/>
        <w:rPr>
          <w:rFonts w:ascii="宋体" w:hAnsi="宋体" w:cs="宋体"/>
          <w:b/>
          <w:bCs/>
          <w:snapToGrid w:val="0"/>
          <w:sz w:val="21"/>
          <w:szCs w:val="21"/>
        </w:rPr>
      </w:pPr>
      <w:r>
        <w:rPr>
          <w:rFonts w:hint="eastAsia" w:ascii="宋体" w:hAnsi="宋体" w:cs="宋体"/>
          <w:b/>
          <w:bCs/>
          <w:snapToGrid w:val="0"/>
          <w:kern w:val="2"/>
          <w:sz w:val="21"/>
          <w:szCs w:val="21"/>
        </w:rPr>
        <w:t>（一）费用种类</w:t>
      </w:r>
    </w:p>
    <w:p>
      <w:pPr>
        <w:spacing w:line="360" w:lineRule="auto"/>
        <w:ind w:firstLine="420" w:firstLineChars="200"/>
        <w:rPr>
          <w:rFonts w:ascii="宋体" w:hAnsi="宋体" w:cs="宋体"/>
          <w:szCs w:val="21"/>
        </w:rPr>
      </w:pPr>
      <w:r>
        <w:rPr>
          <w:rFonts w:hint="eastAsia" w:ascii="宋体" w:hAnsi="宋体" w:cs="宋体"/>
          <w:szCs w:val="21"/>
        </w:rPr>
        <w:t>本产品费用包括管理费、托管费、销售服务费、认</w:t>
      </w:r>
      <w:r>
        <w:rPr>
          <w:rFonts w:ascii="宋体" w:hAnsi="宋体" w:cs="宋体"/>
          <w:szCs w:val="21"/>
        </w:rPr>
        <w:t>/申购费以及产品运作和清算中产生的其他费用等。</w:t>
      </w:r>
    </w:p>
    <w:p>
      <w:pPr>
        <w:spacing w:line="360" w:lineRule="auto"/>
        <w:ind w:left="444"/>
        <w:outlineLvl w:val="1"/>
        <w:rPr>
          <w:rFonts w:ascii="宋体" w:hAnsi="宋体" w:cs="宋体"/>
          <w:bCs/>
          <w:szCs w:val="21"/>
        </w:rPr>
      </w:pPr>
      <w:r>
        <w:rPr>
          <w:rFonts w:hint="eastAsia" w:ascii="宋体" w:hAnsi="宋体" w:cs="宋体"/>
          <w:b/>
          <w:bCs/>
          <w:szCs w:val="21"/>
        </w:rPr>
        <w:t>（二）计提方法、计提标准和支付方式</w:t>
      </w:r>
    </w:p>
    <w:p>
      <w:pPr>
        <w:spacing w:line="360" w:lineRule="auto"/>
        <w:ind w:firstLine="422" w:firstLineChars="200"/>
        <w:rPr>
          <w:rFonts w:ascii="宋体" w:hAnsi="宋体" w:cs="宋体"/>
          <w:szCs w:val="21"/>
        </w:rPr>
      </w:pPr>
      <w:r>
        <w:rPr>
          <w:rFonts w:ascii="宋体" w:hAnsi="宋体" w:cs="宋体"/>
          <w:b/>
          <w:bCs/>
          <w:szCs w:val="21"/>
        </w:rPr>
        <w:t>1.管理费：</w:t>
      </w:r>
      <w:r>
        <w:rPr>
          <w:rFonts w:hint="eastAsia" w:ascii="宋体" w:hAnsi="宋体" w:cs="宋体"/>
          <w:szCs w:val="21"/>
        </w:rPr>
        <w:t>本产品的管理费每日计提，按季支付。管理费按前一日产品资产净值的</w:t>
      </w:r>
      <w:r>
        <w:rPr>
          <w:rFonts w:hint="eastAsia" w:ascii="宋体" w:hAnsi="宋体" w:cs="宋体"/>
          <w:szCs w:val="21"/>
          <w:lang w:val="en-US" w:eastAsia="zh-CN"/>
        </w:rPr>
        <w:t>0.30</w:t>
      </w:r>
      <w:r>
        <w:rPr>
          <w:rFonts w:ascii="宋体" w:hAnsi="宋体" w:cs="宋体"/>
          <w:szCs w:val="21"/>
        </w:rPr>
        <w:t>%年费率计算，由产品管理人收取。计算方法如下：H＝E×管理费率÷365；H为每日应计提的</w:t>
      </w:r>
      <w:r>
        <w:rPr>
          <w:rFonts w:hint="eastAsia" w:ascii="宋体" w:hAnsi="宋体" w:cs="宋体"/>
          <w:szCs w:val="21"/>
        </w:rPr>
        <w:t>管理费；</w:t>
      </w:r>
      <w:r>
        <w:rPr>
          <w:rFonts w:ascii="宋体" w:hAnsi="宋体" w:cs="宋体"/>
          <w:szCs w:val="21"/>
        </w:rPr>
        <w:t>E为前一日的产品资产净值。</w:t>
      </w:r>
    </w:p>
    <w:p>
      <w:pPr>
        <w:spacing w:line="360" w:lineRule="auto"/>
        <w:ind w:firstLine="422" w:firstLineChars="200"/>
        <w:rPr>
          <w:rFonts w:ascii="宋体" w:hAnsi="宋体" w:cs="宋体"/>
          <w:szCs w:val="21"/>
        </w:rPr>
      </w:pPr>
      <w:r>
        <w:rPr>
          <w:rFonts w:hint="eastAsia" w:ascii="宋体" w:hAnsi="宋体" w:cs="宋体"/>
          <w:b/>
          <w:bCs/>
          <w:szCs w:val="21"/>
        </w:rPr>
        <w:t>2</w:t>
      </w:r>
      <w:r>
        <w:rPr>
          <w:rFonts w:ascii="宋体" w:hAnsi="宋体" w:cs="宋体"/>
          <w:b/>
          <w:bCs/>
          <w:szCs w:val="21"/>
        </w:rPr>
        <w:t>.托管费：</w:t>
      </w:r>
      <w:r>
        <w:rPr>
          <w:rFonts w:hint="eastAsia" w:ascii="宋体" w:hAnsi="宋体" w:cs="宋体"/>
          <w:szCs w:val="21"/>
        </w:rPr>
        <w:t>本产品的托管费每日计提，按季支付。托管费按前一日产品资产净值的</w:t>
      </w:r>
      <w:r>
        <w:rPr>
          <w:rFonts w:hint="eastAsia" w:ascii="宋体" w:hAnsi="宋体" w:cs="宋体"/>
          <w:szCs w:val="21"/>
          <w:lang w:val="en-US" w:eastAsia="zh-CN"/>
        </w:rPr>
        <w:t>0.03</w:t>
      </w:r>
      <w:r>
        <w:rPr>
          <w:rFonts w:hint="eastAsia" w:ascii="宋体" w:hAnsi="宋体" w:cs="宋体"/>
          <w:szCs w:val="21"/>
        </w:rPr>
        <w:t>%</w:t>
      </w:r>
      <w:r>
        <w:rPr>
          <w:rFonts w:ascii="宋体" w:hAnsi="宋体" w:cs="宋体"/>
          <w:szCs w:val="21"/>
        </w:rPr>
        <w:t>年费率计算，由托管行收取。计算方法如下：H＝E×托管费率÷365；H为每日应计提的产品资产托管费；E为前一日的产品资产净值</w:t>
      </w:r>
      <w:r>
        <w:rPr>
          <w:rFonts w:hint="eastAsia" w:ascii="宋体" w:hAnsi="宋体" w:cs="宋体"/>
          <w:szCs w:val="21"/>
        </w:rPr>
        <w:t>。</w:t>
      </w:r>
    </w:p>
    <w:p>
      <w:pPr>
        <w:spacing w:line="360" w:lineRule="auto"/>
        <w:ind w:firstLine="422" w:firstLineChars="200"/>
        <w:rPr>
          <w:rFonts w:ascii="宋体" w:hAnsi="宋体" w:cs="宋体"/>
          <w:szCs w:val="21"/>
        </w:rPr>
      </w:pPr>
      <w:r>
        <w:rPr>
          <w:rFonts w:hint="eastAsia" w:ascii="宋体" w:hAnsi="宋体" w:cs="宋体"/>
          <w:b/>
          <w:bCs/>
          <w:szCs w:val="21"/>
        </w:rPr>
        <w:t>3</w:t>
      </w:r>
      <w:r>
        <w:rPr>
          <w:rFonts w:ascii="宋体" w:hAnsi="宋体" w:cs="宋体"/>
          <w:b/>
          <w:bCs/>
          <w:szCs w:val="21"/>
        </w:rPr>
        <w:t>.认/申购费：</w:t>
      </w:r>
      <w:bookmarkStart w:id="13" w:name="OLE_LINK11"/>
      <w:bookmarkStart w:id="14" w:name="OLE_LINK36"/>
      <w:r>
        <w:rPr>
          <w:rFonts w:hint="eastAsia" w:ascii="宋体" w:hAnsi="宋体" w:cs="宋体"/>
          <w:szCs w:val="21"/>
        </w:rPr>
        <w:t>本产品免认</w:t>
      </w:r>
      <w:r>
        <w:rPr>
          <w:rFonts w:ascii="宋体" w:hAnsi="宋体" w:cs="宋体"/>
          <w:szCs w:val="21"/>
        </w:rPr>
        <w:t>/申购费</w:t>
      </w:r>
      <w:bookmarkEnd w:id="13"/>
      <w:r>
        <w:rPr>
          <w:rFonts w:hint="eastAsia" w:ascii="宋体" w:hAnsi="宋体" w:cs="宋体"/>
          <w:szCs w:val="21"/>
        </w:rPr>
        <w:t>。</w:t>
      </w:r>
      <w:bookmarkEnd w:id="14"/>
    </w:p>
    <w:p>
      <w:pPr>
        <w:spacing w:line="360" w:lineRule="auto"/>
        <w:ind w:firstLine="422" w:firstLineChars="200"/>
        <w:rPr>
          <w:rFonts w:ascii="宋体" w:hAnsi="宋体" w:cs="宋体"/>
          <w:szCs w:val="21"/>
        </w:rPr>
      </w:pPr>
      <w:r>
        <w:rPr>
          <w:rFonts w:hint="eastAsia" w:ascii="宋体" w:hAnsi="宋体" w:cs="宋体"/>
          <w:b/>
          <w:bCs/>
          <w:szCs w:val="21"/>
        </w:rPr>
        <w:t>4</w:t>
      </w:r>
      <w:r>
        <w:rPr>
          <w:rFonts w:ascii="宋体" w:hAnsi="宋体" w:cs="宋体"/>
          <w:b/>
          <w:bCs/>
          <w:szCs w:val="21"/>
        </w:rPr>
        <w:t>.赎回费：</w:t>
      </w:r>
      <w:r>
        <w:rPr>
          <w:rFonts w:hint="eastAsia" w:ascii="宋体" w:hAnsi="宋体" w:cs="宋体"/>
          <w:szCs w:val="21"/>
        </w:rPr>
        <w:t>本产品免赎回费。</w:t>
      </w:r>
    </w:p>
    <w:p>
      <w:pPr>
        <w:spacing w:line="360" w:lineRule="auto"/>
        <w:ind w:firstLine="422" w:firstLineChars="200"/>
        <w:rPr>
          <w:rFonts w:ascii="宋体" w:hAnsi="宋体" w:cs="宋体"/>
          <w:szCs w:val="21"/>
        </w:rPr>
      </w:pPr>
      <w:r>
        <w:rPr>
          <w:rFonts w:hint="eastAsia" w:ascii="宋体" w:hAnsi="宋体" w:cs="宋体"/>
          <w:b/>
          <w:bCs/>
          <w:szCs w:val="21"/>
        </w:rPr>
        <w:t>5</w:t>
      </w:r>
      <w:r>
        <w:rPr>
          <w:rFonts w:ascii="宋体" w:hAnsi="宋体" w:cs="宋体"/>
          <w:b/>
          <w:bCs/>
          <w:szCs w:val="21"/>
        </w:rPr>
        <w:t>.销售服务费：</w:t>
      </w:r>
      <w:r>
        <w:rPr>
          <w:rFonts w:hint="eastAsia" w:ascii="宋体" w:hAnsi="宋体" w:cs="宋体"/>
          <w:szCs w:val="21"/>
        </w:rPr>
        <w:t>本产品的销售服务费每日计提，按季支付，由销售服务机构收取。</w:t>
      </w:r>
    </w:p>
    <w:p>
      <w:pPr>
        <w:spacing w:line="360" w:lineRule="auto"/>
        <w:ind w:firstLine="420" w:firstLineChars="200"/>
        <w:rPr>
          <w:rFonts w:ascii="宋体" w:hAnsi="宋体" w:cs="宋体"/>
          <w:szCs w:val="21"/>
        </w:rPr>
      </w:pPr>
      <w:r>
        <w:rPr>
          <w:rFonts w:hint="eastAsia" w:ascii="宋体" w:hAnsi="宋体" w:cs="宋体"/>
          <w:bCs/>
          <w:szCs w:val="21"/>
          <w:lang w:val="en-US" w:eastAsia="zh-CN"/>
        </w:rPr>
        <w:t>D</w:t>
      </w:r>
      <w:r>
        <w:rPr>
          <w:rFonts w:hint="eastAsia" w:ascii="宋体" w:hAnsi="宋体" w:cs="宋体"/>
          <w:bCs/>
          <w:szCs w:val="21"/>
        </w:rPr>
        <w:t>类份额销售服务费年费率为</w:t>
      </w:r>
      <w:r>
        <w:rPr>
          <w:rFonts w:hint="eastAsia" w:ascii="宋体" w:hAnsi="宋体" w:cs="宋体"/>
          <w:bCs/>
          <w:szCs w:val="21"/>
          <w:lang w:val="en-US" w:eastAsia="zh-CN"/>
        </w:rPr>
        <w:t>0.50</w:t>
      </w:r>
      <w:r>
        <w:rPr>
          <w:rFonts w:hint="eastAsia" w:ascii="宋体" w:hAnsi="宋体" w:cs="宋体"/>
          <w:bCs/>
          <w:szCs w:val="21"/>
        </w:rPr>
        <w:t>%</w:t>
      </w:r>
      <w:r>
        <w:rPr>
          <w:rFonts w:hint="eastAsia" w:ascii="宋体" w:hAnsi="宋体" w:cs="宋体"/>
          <w:bCs/>
          <w:sz w:val="22"/>
        </w:rPr>
        <w:t>，</w:t>
      </w:r>
      <w:r>
        <w:rPr>
          <w:rFonts w:hint="eastAsia" w:ascii="宋体" w:hAnsi="宋体" w:cs="宋体"/>
          <w:bCs/>
          <w:szCs w:val="21"/>
          <w:lang w:val="en-US" w:eastAsia="zh-CN"/>
        </w:rPr>
        <w:t>H</w:t>
      </w:r>
      <w:r>
        <w:rPr>
          <w:rFonts w:hint="eastAsia" w:ascii="宋体" w:hAnsi="宋体" w:cs="宋体"/>
          <w:bCs/>
          <w:szCs w:val="21"/>
        </w:rPr>
        <w:t>类份额销售服务费年费率为</w:t>
      </w:r>
      <w:r>
        <w:rPr>
          <w:rFonts w:hint="eastAsia" w:ascii="宋体" w:hAnsi="宋体" w:cs="宋体"/>
          <w:bCs/>
          <w:szCs w:val="21"/>
          <w:lang w:val="en-US" w:eastAsia="zh-CN"/>
        </w:rPr>
        <w:t>0.20</w:t>
      </w:r>
      <w:r>
        <w:rPr>
          <w:rFonts w:hint="eastAsia" w:ascii="宋体" w:hAnsi="宋体" w:cs="宋体"/>
          <w:bCs/>
          <w:szCs w:val="21"/>
        </w:rPr>
        <w:t>%</w:t>
      </w:r>
      <w:r>
        <w:rPr>
          <w:rFonts w:hint="eastAsia" w:ascii="宋体" w:hAnsi="宋体" w:cs="宋体"/>
          <w:bCs/>
          <w:szCs w:val="21"/>
          <w:lang w:eastAsia="zh-CN"/>
        </w:rPr>
        <w:t>。</w:t>
      </w:r>
      <w:r>
        <w:rPr>
          <w:rFonts w:ascii="宋体" w:hAnsi="宋体" w:cs="宋体"/>
          <w:szCs w:val="21"/>
        </w:rPr>
        <w:t>各类产品份额的销售服务费按前</w:t>
      </w:r>
      <w:r>
        <w:rPr>
          <w:rFonts w:hint="eastAsia" w:ascii="宋体" w:hAnsi="宋体" w:cs="宋体"/>
          <w:szCs w:val="21"/>
        </w:rPr>
        <w:t>一日该类产品份额资产净值对应的销售服务费率计算。</w:t>
      </w:r>
    </w:p>
    <w:p>
      <w:pPr>
        <w:spacing w:line="360" w:lineRule="auto"/>
        <w:ind w:firstLine="420" w:firstLineChars="200"/>
        <w:rPr>
          <w:rFonts w:ascii="宋体" w:hAnsi="宋体" w:cs="宋体"/>
          <w:szCs w:val="21"/>
        </w:rPr>
      </w:pPr>
      <w:r>
        <w:rPr>
          <w:rFonts w:hint="eastAsia" w:ascii="宋体" w:hAnsi="宋体" w:cs="宋体"/>
          <w:szCs w:val="21"/>
        </w:rPr>
        <w:t>计算方法如下：</w:t>
      </w:r>
      <w:r>
        <w:rPr>
          <w:rFonts w:ascii="宋体" w:hAnsi="宋体" w:cs="宋体"/>
          <w:szCs w:val="21"/>
        </w:rPr>
        <w:t>H＝E×R÷365；H为该类产品份额每日应计提的销售服务费；E为前一日该类产品份额的产品资产净值；R为该类产品份额的销售服务费年费率。</w:t>
      </w:r>
    </w:p>
    <w:p>
      <w:pPr>
        <w:spacing w:line="360" w:lineRule="auto"/>
        <w:ind w:firstLine="420" w:firstLineChars="200"/>
        <w:rPr>
          <w:rFonts w:ascii="宋体" w:hAnsi="宋体" w:cs="宋体"/>
          <w:bCs/>
          <w:szCs w:val="21"/>
        </w:rPr>
      </w:pPr>
      <w:r>
        <w:rPr>
          <w:rFonts w:hint="eastAsia" w:ascii="宋体" w:hAnsi="宋体" w:cs="宋体"/>
          <w:bCs/>
          <w:szCs w:val="21"/>
        </w:rPr>
        <w:t>如在产品存续期内收费项目、条件、标准和方式发生调整，将于调整生效前</w:t>
      </w:r>
      <w:r>
        <w:rPr>
          <w:rFonts w:ascii="宋体" w:hAnsi="宋体" w:cs="宋体"/>
          <w:bCs/>
          <w:szCs w:val="21"/>
        </w:rPr>
        <w:t>2个工作日以公告的形式在产品管理人官方网站或</w:t>
      </w:r>
      <w:r>
        <w:rPr>
          <w:rFonts w:hint="eastAsia" w:ascii="宋体" w:hAnsi="宋体" w:cs="宋体"/>
          <w:bCs/>
          <w:szCs w:val="21"/>
        </w:rPr>
        <w:t>销售服务机构网上销售平台</w:t>
      </w:r>
      <w:r>
        <w:rPr>
          <w:rFonts w:hint="eastAsia" w:ascii="宋体" w:hAnsi="宋体" w:cs="宋体"/>
          <w:szCs w:val="21"/>
        </w:rPr>
        <w:t>予以公布。</w:t>
      </w:r>
      <w:r>
        <w:rPr>
          <w:rFonts w:hint="eastAsia" w:ascii="宋体" w:hAnsi="宋体" w:cs="宋体"/>
          <w:bCs/>
          <w:szCs w:val="21"/>
        </w:rPr>
        <w:t>若本理财产品的投资者不接受上述调整（费率优惠除外），则应及时通过销售服务机构营业网点及电子渠道等赎回本产品；若本理财产品投资者未赎回本产品，则视为本理财产品投资者对相关调整无异议且同意在调整后继续持有本理财产品。</w:t>
      </w:r>
    </w:p>
    <w:p>
      <w:pPr>
        <w:spacing w:line="360" w:lineRule="auto"/>
        <w:ind w:firstLine="422" w:firstLineChars="200"/>
        <w:rPr>
          <w:rFonts w:ascii="宋体" w:hAnsi="宋体" w:cs="宋体"/>
          <w:b/>
          <w:szCs w:val="21"/>
        </w:rPr>
      </w:pPr>
      <w:r>
        <w:rPr>
          <w:rFonts w:hint="eastAsia" w:ascii="宋体" w:hAnsi="宋体" w:cs="宋体"/>
          <w:b/>
          <w:szCs w:val="21"/>
        </w:rPr>
        <w:t>6</w:t>
      </w:r>
      <w:r>
        <w:rPr>
          <w:rFonts w:ascii="宋体" w:hAnsi="宋体" w:cs="宋体"/>
          <w:b/>
          <w:szCs w:val="21"/>
        </w:rPr>
        <w:t>.税收规定</w:t>
      </w:r>
    </w:p>
    <w:p>
      <w:pPr>
        <w:spacing w:line="360" w:lineRule="auto"/>
        <w:ind w:firstLine="411" w:firstLineChars="196"/>
        <w:rPr>
          <w:rFonts w:ascii="宋体" w:hAnsi="宋体" w:cs="宋体"/>
          <w:szCs w:val="21"/>
        </w:rPr>
      </w:pPr>
      <w:r>
        <w:rPr>
          <w:rFonts w:hint="eastAsia" w:ascii="宋体" w:hAnsi="宋体" w:cs="宋体"/>
          <w:szCs w:val="21"/>
        </w:rPr>
        <w:t>（1）本理财产品运营过程中发生的增值税应税行为，由各纳税主体，根据中国增值税等税收相关法律法规、税收政策等要求进行申报和缴纳；</w:t>
      </w:r>
    </w:p>
    <w:p>
      <w:pPr>
        <w:spacing w:line="360" w:lineRule="auto"/>
        <w:ind w:firstLine="411" w:firstLineChars="196"/>
        <w:rPr>
          <w:rFonts w:ascii="宋体" w:hAnsi="宋体" w:cs="宋体"/>
          <w:szCs w:val="21"/>
        </w:rPr>
      </w:pPr>
      <w:r>
        <w:rPr>
          <w:rFonts w:hint="eastAsia" w:ascii="宋体" w:hAnsi="宋体" w:cs="宋体"/>
          <w:szCs w:val="21"/>
        </w:rPr>
        <w:t>（2）若本理财产品适用法律法规、税收政策要求管理人代扣代缴理财产品投资者应纳税款的，管理人将依法履行扣缴义务。投资者及其他签约方（如有）应同意本理财产品在运营过程应缴纳的增值税及附加税费（包括但不限于城市维护建设税、教育费附加及地方教育附加等）由管理人从理财产品财产中支付，并由管理人根据中国税务机关要求，履行相关纳税申报义务，由此可能会使理财产品净值或实际收益降低，请投资者知悉；</w:t>
      </w:r>
    </w:p>
    <w:p>
      <w:pPr>
        <w:spacing w:line="360" w:lineRule="auto"/>
        <w:ind w:firstLine="411" w:firstLineChars="196"/>
        <w:rPr>
          <w:rFonts w:ascii="宋体" w:hAnsi="宋体" w:cs="宋体"/>
          <w:szCs w:val="21"/>
        </w:rPr>
      </w:pPr>
      <w:r>
        <w:rPr>
          <w:rFonts w:hint="eastAsia" w:ascii="宋体" w:hAnsi="宋体" w:cs="宋体"/>
          <w:szCs w:val="21"/>
        </w:rPr>
        <w:t>（3）本理财产品有关的增值税及其他税收的法律法规和税收政策发生变化，管理人应当根据法律法规和税收政策的最新规定执行。请投资者知悉，此类税收调整，可能影响理财产品投资收益情况。</w:t>
      </w:r>
    </w:p>
    <w:p>
      <w:pPr>
        <w:spacing w:line="360" w:lineRule="auto"/>
        <w:ind w:firstLine="407" w:firstLineChars="193"/>
        <w:rPr>
          <w:rFonts w:ascii="宋体" w:hAnsi="宋体" w:cs="宋体"/>
          <w:szCs w:val="21"/>
        </w:rPr>
      </w:pPr>
      <w:r>
        <w:rPr>
          <w:rFonts w:hint="eastAsia" w:ascii="宋体" w:hAnsi="宋体" w:cs="宋体"/>
          <w:b/>
          <w:szCs w:val="21"/>
        </w:rPr>
        <w:t>7</w:t>
      </w:r>
      <w:r>
        <w:rPr>
          <w:rFonts w:ascii="宋体" w:hAnsi="宋体" w:cs="宋体"/>
          <w:b/>
          <w:szCs w:val="21"/>
        </w:rPr>
        <w:t>.</w:t>
      </w:r>
      <w:bookmarkStart w:id="15" w:name="_Hlk508966506"/>
      <w:r>
        <w:rPr>
          <w:rFonts w:hint="eastAsia" w:ascii="宋体" w:hAnsi="宋体" w:cs="宋体"/>
          <w:b/>
          <w:szCs w:val="21"/>
        </w:rPr>
        <w:t>除上述费用外，由受托管理资产承担的费用包括但不限于：</w:t>
      </w:r>
      <w:bookmarkEnd w:id="15"/>
      <w:r>
        <w:rPr>
          <w:rFonts w:hint="eastAsia" w:ascii="宋体" w:hAnsi="宋体" w:cs="宋体"/>
          <w:b/>
          <w:szCs w:val="21"/>
        </w:rPr>
        <w:t>税费、资金划拨费用、结算费用、交易费用、账户服务费用、注册登记费用、推介发行费用、信息披露费用、审计费、律师费、公证费、诉讼费、仲裁费、执行费、受托管理资产事务管理费用、投资其他资管产品费用、代理机构费用以及法律法规、监管规定的其他应由本理财产品承担的费用。</w:t>
      </w:r>
    </w:p>
    <w:p>
      <w:pPr>
        <w:spacing w:line="360" w:lineRule="auto"/>
        <w:ind w:firstLine="420" w:firstLineChars="200"/>
        <w:rPr>
          <w:rFonts w:ascii="宋体" w:hAnsi="宋体" w:cs="宋体"/>
          <w:bCs/>
          <w:szCs w:val="21"/>
        </w:rPr>
      </w:pPr>
      <w:r>
        <w:rPr>
          <w:rFonts w:hint="eastAsia" w:ascii="宋体" w:hAnsi="宋体" w:cs="宋体"/>
          <w:bCs/>
          <w:szCs w:val="21"/>
        </w:rPr>
        <w:t>8.管理人可根据实际情况与托管人、销售服务机构等合作机构另行约定费用支付频率。</w:t>
      </w:r>
    </w:p>
    <w:p>
      <w:pPr>
        <w:spacing w:line="360" w:lineRule="auto"/>
        <w:ind w:firstLine="431" w:firstLineChars="196"/>
        <w:jc w:val="left"/>
        <w:rPr>
          <w:rFonts w:ascii="宋体" w:hAnsi="宋体" w:cs="宋体"/>
          <w:sz w:val="22"/>
        </w:rPr>
      </w:pPr>
    </w:p>
    <w:p>
      <w:pPr>
        <w:spacing w:line="360" w:lineRule="auto"/>
        <w:jc w:val="center"/>
        <w:outlineLvl w:val="0"/>
        <w:rPr>
          <w:rFonts w:ascii="宋体" w:hAnsi="宋体" w:cs="宋体"/>
          <w:b/>
          <w:bCs/>
          <w:color w:val="000000"/>
          <w:sz w:val="28"/>
          <w:szCs w:val="28"/>
        </w:rPr>
      </w:pPr>
      <w:r>
        <w:rPr>
          <w:rFonts w:hint="eastAsia" w:ascii="宋体" w:hAnsi="宋体" w:cs="宋体"/>
          <w:b/>
          <w:bCs/>
          <w:sz w:val="28"/>
          <w:szCs w:val="28"/>
        </w:rPr>
        <w:t>八、产品托管</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（一）托管人</w:t>
      </w:r>
    </w:p>
    <w:p>
      <w:pPr>
        <w:spacing w:line="360" w:lineRule="auto"/>
        <w:ind w:firstLine="411" w:firstLineChars="196"/>
        <w:rPr>
          <w:rFonts w:ascii="宋体" w:hAnsi="宋体" w:cs="宋体"/>
          <w:b/>
          <w:bCs/>
          <w:szCs w:val="21"/>
        </w:rPr>
      </w:pPr>
      <w:r>
        <w:rPr>
          <w:rFonts w:hint="eastAsia" w:ascii="宋体" w:hAnsi="宋体" w:cs="宋体"/>
          <w:szCs w:val="21"/>
          <w:highlight w:val="none"/>
        </w:rPr>
        <w:t>本产品托管人为</w:t>
      </w:r>
      <w:r>
        <w:rPr>
          <w:rFonts w:hint="eastAsia"/>
          <w:szCs w:val="21"/>
          <w:highlight w:val="none"/>
        </w:rPr>
        <w:t>中国光大银行股份有限公司</w:t>
      </w:r>
      <w:r>
        <w:rPr>
          <w:rFonts w:ascii="宋体" w:hAnsi="宋体" w:cs="宋体"/>
          <w:szCs w:val="21"/>
          <w:highlight w:val="none"/>
        </w:rPr>
        <w:t>。产品管理人在此特别披露:</w:t>
      </w:r>
      <w:r>
        <w:rPr>
          <w:rFonts w:ascii="宋体" w:hAnsi="宋体" w:cs="宋体"/>
          <w:b/>
          <w:bCs/>
          <w:szCs w:val="21"/>
          <w:highlight w:val="none"/>
        </w:rPr>
        <w:t>托管人为产品管理人的关联方,产品管理人聘请其担任托管人已履行现行法律法规和监管规定所规定必须履行的程序,产品管理人、投资者同意并接受理财产品由托管人托管。</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（二）托管人基本信息</w:t>
      </w:r>
    </w:p>
    <w:p>
      <w:pPr>
        <w:pStyle w:val="37"/>
        <w:rPr>
          <w:rFonts w:hint="eastAsia"/>
          <w:b w:val="0"/>
          <w:bCs w:val="0"/>
          <w:highlight w:val="none"/>
        </w:rPr>
      </w:pPr>
      <w:r>
        <w:rPr>
          <w:rFonts w:hint="eastAsia"/>
          <w:b w:val="0"/>
          <w:bCs w:val="0"/>
          <w:highlight w:val="none"/>
        </w:rPr>
        <w:t>名称：中国光大银行股份有限公司</w:t>
      </w:r>
    </w:p>
    <w:p>
      <w:pPr>
        <w:pStyle w:val="37"/>
        <w:rPr>
          <w:rFonts w:hint="eastAsia"/>
          <w:b w:val="0"/>
          <w:bCs w:val="0"/>
          <w:highlight w:val="none"/>
        </w:rPr>
      </w:pPr>
      <w:r>
        <w:rPr>
          <w:rFonts w:hint="eastAsia"/>
          <w:b w:val="0"/>
          <w:bCs w:val="0"/>
          <w:highlight w:val="none"/>
        </w:rPr>
        <w:t>住所：北京市西城区太平桥大街25号、甲25号中国光大中心</w:t>
      </w:r>
    </w:p>
    <w:p>
      <w:pPr>
        <w:pStyle w:val="37"/>
        <w:rPr>
          <w:rFonts w:hint="eastAsia"/>
          <w:b w:val="0"/>
          <w:bCs w:val="0"/>
          <w:highlight w:val="none"/>
        </w:rPr>
      </w:pPr>
      <w:r>
        <w:rPr>
          <w:rFonts w:hint="eastAsia"/>
          <w:b w:val="0"/>
          <w:bCs w:val="0"/>
          <w:highlight w:val="none"/>
        </w:rPr>
        <w:t>成立日期：1992年6月18日</w:t>
      </w:r>
    </w:p>
    <w:p>
      <w:pPr>
        <w:pStyle w:val="37"/>
        <w:rPr>
          <w:rFonts w:hint="eastAsia"/>
          <w:b w:val="0"/>
          <w:bCs w:val="0"/>
          <w:highlight w:val="none"/>
        </w:rPr>
      </w:pPr>
      <w:r>
        <w:rPr>
          <w:rFonts w:hint="eastAsia"/>
          <w:b w:val="0"/>
          <w:bCs w:val="0"/>
          <w:highlight w:val="none"/>
        </w:rPr>
        <w:t>组织形式：股份有限公司</w:t>
      </w:r>
    </w:p>
    <w:p>
      <w:pPr>
        <w:spacing w:line="360" w:lineRule="auto"/>
        <w:ind w:firstLine="411" w:firstLineChars="196"/>
        <w:rPr>
          <w:rFonts w:ascii="宋体" w:hAnsi="宋体" w:cs="宋体"/>
          <w:szCs w:val="21"/>
        </w:rPr>
      </w:pPr>
      <w:r>
        <w:rPr>
          <w:rFonts w:hint="eastAsia"/>
          <w:b w:val="0"/>
          <w:bCs w:val="0"/>
          <w:highlight w:val="none"/>
        </w:rPr>
        <w:t>经营范围：吸收公众存款；发放短期、中期和长期贷款；办理国内外结算；办理票据贴现；发行金融债券；代理发行、代理兑付、承销政府债券；买卖政府债券；从事同业拆借；买卖、代理买卖外汇；提供信用证服务及担保；代理收付款项及代理保险业务；提供保管箱服务；经中国人民银行和国家外汇管理局批准的其他业务。</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（三）托管人职责</w:t>
      </w:r>
    </w:p>
    <w:p>
      <w:pPr>
        <w:spacing w:line="360" w:lineRule="auto"/>
        <w:ind w:firstLine="411" w:firstLineChars="196"/>
        <w:rPr>
          <w:rFonts w:ascii="宋体" w:hAnsi="宋体" w:cs="宋体"/>
          <w:szCs w:val="21"/>
        </w:rPr>
      </w:pPr>
      <w:r>
        <w:rPr>
          <w:rFonts w:ascii="宋体" w:hAnsi="宋体" w:cs="宋体"/>
          <w:szCs w:val="21"/>
        </w:rPr>
        <w:t>1.安全保管理财产品财产；</w:t>
      </w:r>
    </w:p>
    <w:p>
      <w:pPr>
        <w:spacing w:line="360" w:lineRule="auto"/>
        <w:ind w:firstLine="411" w:firstLineChars="196"/>
        <w:rPr>
          <w:rFonts w:ascii="宋体" w:hAnsi="宋体" w:cs="宋体"/>
          <w:szCs w:val="21"/>
        </w:rPr>
      </w:pPr>
      <w:r>
        <w:rPr>
          <w:rFonts w:ascii="宋体" w:hAnsi="宋体" w:cs="宋体"/>
          <w:szCs w:val="21"/>
        </w:rPr>
        <w:t>2.为理财产品开立银行托管账户、证券账户等；</w:t>
      </w:r>
    </w:p>
    <w:p>
      <w:pPr>
        <w:spacing w:line="360" w:lineRule="auto"/>
        <w:ind w:firstLine="411" w:firstLineChars="196"/>
        <w:rPr>
          <w:rFonts w:ascii="宋体" w:hAnsi="宋体" w:cs="宋体"/>
          <w:szCs w:val="21"/>
        </w:rPr>
      </w:pPr>
      <w:r>
        <w:rPr>
          <w:rFonts w:ascii="宋体" w:hAnsi="宋体" w:cs="宋体"/>
          <w:szCs w:val="21"/>
        </w:rPr>
        <w:t>3.确认与执行理财产品资金划拨指令，办理理财产品资金的收付，核对理财产品资金划拨记录；</w:t>
      </w:r>
    </w:p>
    <w:p>
      <w:pPr>
        <w:spacing w:line="360" w:lineRule="auto"/>
        <w:ind w:firstLine="411" w:firstLineChars="196"/>
        <w:rPr>
          <w:rFonts w:ascii="宋体" w:hAnsi="宋体" w:cs="宋体"/>
          <w:szCs w:val="21"/>
        </w:rPr>
      </w:pPr>
      <w:r>
        <w:rPr>
          <w:rFonts w:ascii="宋体" w:hAnsi="宋体" w:cs="宋体"/>
          <w:szCs w:val="21"/>
        </w:rPr>
        <w:t>4.建立与理财产品管理人的对账机制，复核理财产品资产净值、理财产品份额申购、赎回价格，及时核查投资资金的支付和到账情况；</w:t>
      </w:r>
    </w:p>
    <w:p>
      <w:pPr>
        <w:spacing w:line="360" w:lineRule="auto"/>
        <w:ind w:firstLine="411" w:firstLineChars="196"/>
        <w:rPr>
          <w:rFonts w:ascii="宋体" w:hAnsi="宋体" w:cs="宋体"/>
          <w:szCs w:val="21"/>
        </w:rPr>
      </w:pPr>
      <w:r>
        <w:rPr>
          <w:rFonts w:ascii="宋体" w:hAnsi="宋体" w:cs="宋体"/>
          <w:szCs w:val="21"/>
        </w:rPr>
        <w:t>5.监督理财产品投资运作；</w:t>
      </w:r>
    </w:p>
    <w:p>
      <w:pPr>
        <w:spacing w:line="360" w:lineRule="auto"/>
        <w:ind w:firstLine="411" w:firstLineChars="196"/>
        <w:rPr>
          <w:rFonts w:ascii="宋体" w:hAnsi="宋体" w:cs="宋体"/>
          <w:szCs w:val="21"/>
        </w:rPr>
      </w:pPr>
      <w:r>
        <w:rPr>
          <w:rFonts w:ascii="宋体" w:hAnsi="宋体" w:cs="宋体"/>
          <w:szCs w:val="21"/>
        </w:rPr>
        <w:t>6.办理与理财产品托管业务活动相关的信息披露事项；</w:t>
      </w:r>
    </w:p>
    <w:p>
      <w:pPr>
        <w:spacing w:line="360" w:lineRule="auto"/>
        <w:ind w:firstLine="411" w:firstLineChars="196"/>
        <w:rPr>
          <w:rFonts w:ascii="宋体" w:hAnsi="宋体" w:cs="宋体"/>
          <w:szCs w:val="21"/>
        </w:rPr>
      </w:pPr>
      <w:r>
        <w:rPr>
          <w:rFonts w:ascii="宋体" w:hAnsi="宋体" w:cs="宋体"/>
          <w:szCs w:val="21"/>
        </w:rPr>
        <w:t>7.保存理财产品托管业务活动的记录、账册、报表和其他相关材料；</w:t>
      </w:r>
    </w:p>
    <w:p>
      <w:pPr>
        <w:spacing w:line="360" w:lineRule="auto"/>
        <w:ind w:firstLine="411" w:firstLineChars="196"/>
        <w:rPr>
          <w:rFonts w:ascii="宋体" w:hAnsi="宋体" w:cs="宋体"/>
          <w:szCs w:val="21"/>
        </w:rPr>
      </w:pPr>
      <w:r>
        <w:rPr>
          <w:rFonts w:ascii="宋体" w:hAnsi="宋体" w:cs="宋体"/>
          <w:szCs w:val="21"/>
        </w:rPr>
        <w:t>8.对理财产品投资信息和相关资料承担保密责任；</w:t>
      </w:r>
    </w:p>
    <w:p>
      <w:pPr>
        <w:spacing w:line="360" w:lineRule="auto"/>
        <w:ind w:firstLine="411" w:firstLineChars="196"/>
        <w:rPr>
          <w:rFonts w:ascii="宋体" w:hAnsi="宋体" w:cs="宋体"/>
          <w:szCs w:val="21"/>
        </w:rPr>
      </w:pPr>
      <w:r>
        <w:rPr>
          <w:rFonts w:ascii="宋体" w:hAnsi="宋体" w:cs="宋体"/>
          <w:szCs w:val="21"/>
        </w:rPr>
        <w:t>9.</w:t>
      </w:r>
      <w:r>
        <w:rPr>
          <w:rFonts w:hint="eastAsia" w:ascii="宋体" w:hAnsi="宋体" w:cs="宋体"/>
          <w:szCs w:val="21"/>
          <w:lang w:val="en-US" w:eastAsia="zh-CN"/>
        </w:rPr>
        <w:t>监管机构</w:t>
      </w:r>
      <w:r>
        <w:rPr>
          <w:rFonts w:ascii="宋体" w:hAnsi="宋体" w:cs="宋体"/>
          <w:szCs w:val="21"/>
        </w:rPr>
        <w:t>规定的其他职责。</w:t>
      </w:r>
    </w:p>
    <w:p>
      <w:pPr>
        <w:spacing w:line="360" w:lineRule="auto"/>
        <w:ind w:firstLine="431" w:firstLineChars="196"/>
        <w:rPr>
          <w:rFonts w:ascii="宋体" w:hAnsi="宋体" w:cs="宋体"/>
          <w:sz w:val="22"/>
        </w:rPr>
      </w:pPr>
    </w:p>
    <w:p>
      <w:pPr>
        <w:spacing w:line="360" w:lineRule="auto"/>
        <w:jc w:val="center"/>
        <w:outlineLvl w:val="0"/>
        <w:rPr>
          <w:rFonts w:ascii="宋体" w:hAnsi="宋体" w:cs="宋体"/>
          <w:b/>
          <w:bCs/>
          <w:sz w:val="28"/>
          <w:szCs w:val="28"/>
        </w:rPr>
      </w:pPr>
      <w:r>
        <w:rPr>
          <w:rFonts w:hint="eastAsia" w:ascii="宋体" w:hAnsi="宋体" w:cs="宋体"/>
          <w:b/>
          <w:bCs/>
          <w:sz w:val="28"/>
          <w:szCs w:val="28"/>
        </w:rPr>
        <w:t>九、信息披露</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（一）信息披露内容</w:t>
      </w:r>
    </w:p>
    <w:p>
      <w:pPr>
        <w:spacing w:line="360" w:lineRule="auto"/>
        <w:ind w:firstLine="411" w:firstLineChars="196"/>
        <w:rPr>
          <w:rFonts w:ascii="宋体" w:hAnsi="宋体" w:cs="宋体"/>
          <w:szCs w:val="21"/>
        </w:rPr>
      </w:pPr>
      <w:r>
        <w:rPr>
          <w:rFonts w:ascii="宋体" w:hAnsi="宋体" w:cs="宋体"/>
          <w:szCs w:val="21"/>
        </w:rPr>
        <w:t>1.产品类型、募集信息、产品净值、产品规模、托管安排；</w:t>
      </w:r>
    </w:p>
    <w:p>
      <w:pPr>
        <w:spacing w:line="360" w:lineRule="auto"/>
        <w:ind w:firstLine="411" w:firstLineChars="196"/>
        <w:rPr>
          <w:rFonts w:ascii="宋体" w:hAnsi="宋体" w:cs="宋体"/>
          <w:szCs w:val="21"/>
        </w:rPr>
      </w:pPr>
      <w:r>
        <w:rPr>
          <w:rFonts w:ascii="宋体" w:hAnsi="宋体" w:cs="宋体"/>
          <w:szCs w:val="21"/>
        </w:rPr>
        <w:t>2.产品底层资产类别、投资比例、持仓情况</w:t>
      </w:r>
      <w:r>
        <w:rPr>
          <w:rFonts w:hint="eastAsia" w:ascii="宋体" w:hAnsi="宋体" w:cs="宋体"/>
          <w:szCs w:val="21"/>
        </w:rPr>
        <w:t>、</w:t>
      </w:r>
      <w:r>
        <w:rPr>
          <w:rFonts w:ascii="宋体" w:hAnsi="宋体" w:cs="宋体"/>
          <w:szCs w:val="21"/>
        </w:rPr>
        <w:t>杠杆水平</w:t>
      </w:r>
      <w:r>
        <w:rPr>
          <w:rFonts w:hint="eastAsia" w:ascii="宋体" w:hAnsi="宋体" w:cs="宋体"/>
          <w:szCs w:val="21"/>
        </w:rPr>
        <w:t>以及流动性风险分析</w:t>
      </w:r>
      <w:r>
        <w:rPr>
          <w:rFonts w:ascii="宋体" w:hAnsi="宋体" w:cs="宋体"/>
          <w:szCs w:val="21"/>
        </w:rPr>
        <w:t>；</w:t>
      </w:r>
    </w:p>
    <w:p>
      <w:pPr>
        <w:spacing w:line="360" w:lineRule="auto"/>
        <w:ind w:firstLine="411" w:firstLineChars="196"/>
        <w:rPr>
          <w:rFonts w:ascii="宋体" w:hAnsi="宋体" w:cs="宋体"/>
          <w:szCs w:val="21"/>
        </w:rPr>
      </w:pPr>
      <w:r>
        <w:rPr>
          <w:rFonts w:ascii="宋体" w:hAnsi="宋体" w:cs="宋体"/>
          <w:szCs w:val="21"/>
        </w:rPr>
        <w:t>3.产品估值方法、托管安排及投资账户信息；</w:t>
      </w:r>
    </w:p>
    <w:p>
      <w:pPr>
        <w:spacing w:line="360" w:lineRule="auto"/>
        <w:ind w:firstLine="411" w:firstLineChars="196"/>
        <w:rPr>
          <w:rFonts w:ascii="宋体" w:hAnsi="宋体" w:cs="宋体"/>
          <w:szCs w:val="21"/>
        </w:rPr>
      </w:pPr>
      <w:r>
        <w:rPr>
          <w:rFonts w:ascii="宋体" w:hAnsi="宋体" w:cs="宋体"/>
          <w:szCs w:val="21"/>
        </w:rPr>
        <w:t>4.产品收益分配、各项费用情况及主要投资风险；</w:t>
      </w:r>
    </w:p>
    <w:p>
      <w:pPr>
        <w:spacing w:line="360" w:lineRule="auto"/>
        <w:ind w:firstLine="411" w:firstLineChars="196"/>
        <w:rPr>
          <w:rFonts w:ascii="宋体" w:hAnsi="宋体" w:cs="宋体"/>
          <w:szCs w:val="21"/>
        </w:rPr>
      </w:pPr>
      <w:r>
        <w:rPr>
          <w:rFonts w:hint="eastAsia" w:ascii="宋体" w:hAnsi="宋体" w:cs="宋体"/>
          <w:szCs w:val="21"/>
        </w:rPr>
        <w:t>5</w:t>
      </w:r>
      <w:r>
        <w:rPr>
          <w:rFonts w:ascii="宋体" w:hAnsi="宋体" w:cs="宋体"/>
          <w:szCs w:val="21"/>
        </w:rPr>
        <w:t>.产品涉及的</w:t>
      </w:r>
      <w:r>
        <w:rPr>
          <w:rFonts w:hint="eastAsia" w:ascii="宋体" w:hAnsi="宋体" w:cs="宋体"/>
          <w:szCs w:val="21"/>
        </w:rPr>
        <w:t>关联交易；</w:t>
      </w:r>
    </w:p>
    <w:p>
      <w:pPr>
        <w:spacing w:line="360" w:lineRule="auto"/>
        <w:ind w:firstLine="411" w:firstLineChars="196"/>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其他影响本产品投资运作的重大事项、突发事件、临时性信息披露等。</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（二）信息披露频率</w:t>
      </w:r>
    </w:p>
    <w:p>
      <w:pPr>
        <w:spacing w:line="360" w:lineRule="auto"/>
        <w:ind w:firstLine="411" w:firstLineChars="196"/>
        <w:rPr>
          <w:rFonts w:ascii="宋体" w:hAnsi="宋体" w:cs="宋体"/>
          <w:szCs w:val="21"/>
        </w:rPr>
      </w:pPr>
      <w:r>
        <w:rPr>
          <w:rFonts w:ascii="宋体" w:hAnsi="宋体" w:cs="宋体"/>
          <w:szCs w:val="21"/>
        </w:rPr>
        <w:t>1.</w:t>
      </w:r>
      <w:bookmarkStart w:id="16" w:name="_Hlk75179365"/>
      <w:r>
        <w:rPr>
          <w:rFonts w:hint="eastAsia" w:ascii="宋体" w:hAnsi="宋体" w:cs="宋体"/>
          <w:szCs w:val="21"/>
        </w:rPr>
        <w:t>发行公告：本产品成立后</w:t>
      </w:r>
      <w:r>
        <w:rPr>
          <w:rFonts w:ascii="宋体" w:hAnsi="宋体" w:cs="宋体"/>
          <w:szCs w:val="21"/>
        </w:rPr>
        <w:t>5个工作日内，披露本产品成立公告，包括理财产品成立日期和募集规模等信息。</w:t>
      </w:r>
      <w:bookmarkEnd w:id="16"/>
    </w:p>
    <w:p>
      <w:pPr>
        <w:spacing w:line="360" w:lineRule="auto"/>
        <w:ind w:firstLine="411" w:firstLineChars="196"/>
        <w:rPr>
          <w:rFonts w:ascii="宋体" w:hAnsi="宋体" w:cs="宋体"/>
          <w:szCs w:val="21"/>
        </w:rPr>
      </w:pPr>
      <w:r>
        <w:rPr>
          <w:rFonts w:ascii="宋体" w:hAnsi="宋体" w:cs="宋体"/>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r>
        <w:rPr>
          <w:rFonts w:hint="eastAsia" w:ascii="宋体" w:hAnsi="宋体" w:cs="宋体"/>
          <w:szCs w:val="21"/>
        </w:rPr>
        <w:t>定期报告将披露理财产品组合资产情况及其流动性风险分析等。</w:t>
      </w:r>
    </w:p>
    <w:p>
      <w:pPr>
        <w:spacing w:line="360" w:lineRule="auto"/>
        <w:ind w:firstLine="411" w:firstLineChars="196"/>
        <w:rPr>
          <w:rFonts w:ascii="宋体" w:hAnsi="宋体" w:cs="宋体"/>
          <w:szCs w:val="21"/>
        </w:rPr>
      </w:pPr>
      <w:r>
        <w:rPr>
          <w:rFonts w:ascii="宋体" w:hAnsi="宋体" w:cs="宋体"/>
          <w:szCs w:val="21"/>
        </w:rPr>
        <w:t>3.到期公告：本产品在终止后5个工作日内，披露本产品到期公告，包括理财产品的存续期限、终止日期、收费情况和收益分配情况等信息。</w:t>
      </w:r>
    </w:p>
    <w:p>
      <w:pPr>
        <w:spacing w:line="360" w:lineRule="auto"/>
        <w:ind w:firstLine="411" w:firstLineChars="196"/>
        <w:rPr>
          <w:rFonts w:ascii="宋体" w:hAnsi="宋体" w:cs="宋体"/>
          <w:szCs w:val="21"/>
        </w:rPr>
      </w:pPr>
      <w:r>
        <w:rPr>
          <w:rFonts w:ascii="宋体" w:hAnsi="宋体" w:cs="宋体"/>
          <w:szCs w:val="21"/>
        </w:rPr>
        <w:t>4.重大事项公告：在发生可能对理财产品投资者或者理财产品收益产生重大事项的事件后2个工作日内发布重大事项公告。</w:t>
      </w:r>
    </w:p>
    <w:p>
      <w:pPr>
        <w:spacing w:line="360" w:lineRule="auto"/>
        <w:ind w:firstLine="411" w:firstLineChars="196"/>
        <w:rPr>
          <w:rFonts w:ascii="宋体" w:hAnsi="宋体" w:cs="宋体"/>
          <w:szCs w:val="21"/>
        </w:rPr>
      </w:pPr>
      <w:r>
        <w:rPr>
          <w:rFonts w:ascii="宋体" w:hAnsi="宋体" w:cs="宋体"/>
          <w:szCs w:val="21"/>
        </w:rPr>
        <w:t>5.产品净值公</w:t>
      </w:r>
      <w:r>
        <w:rPr>
          <w:rFonts w:hint="eastAsia" w:ascii="宋体" w:hAnsi="宋体" w:cs="宋体"/>
          <w:szCs w:val="21"/>
        </w:rPr>
        <w:t>布</w:t>
      </w:r>
      <w:r>
        <w:rPr>
          <w:rFonts w:ascii="宋体" w:hAnsi="宋体" w:cs="宋体"/>
          <w:szCs w:val="21"/>
        </w:rPr>
        <w:t>：</w:t>
      </w:r>
      <w:r>
        <w:rPr>
          <w:rFonts w:hint="eastAsia" w:ascii="宋体" w:hAnsi="宋体" w:cs="宋体"/>
          <w:szCs w:val="21"/>
        </w:rPr>
        <w:t>本产品成立后，每个开放日结束后2</w:t>
      </w:r>
      <w:r>
        <w:rPr>
          <w:rFonts w:ascii="宋体" w:hAnsi="宋体" w:cs="宋体"/>
          <w:szCs w:val="21"/>
        </w:rPr>
        <w:t>个工作日内</w:t>
      </w:r>
      <w:r>
        <w:rPr>
          <w:rFonts w:hint="eastAsia" w:ascii="宋体" w:hAnsi="宋体" w:cs="宋体"/>
          <w:szCs w:val="21"/>
        </w:rPr>
        <w:t>公布一次各类份额</w:t>
      </w:r>
      <w:r>
        <w:rPr>
          <w:rFonts w:hint="eastAsia" w:ascii="宋体" w:hAnsi="宋体" w:cs="宋体"/>
          <w:szCs w:val="21"/>
          <w:lang w:eastAsia="zh-Hans"/>
        </w:rPr>
        <w:t>的产品</w:t>
      </w:r>
      <w:r>
        <w:rPr>
          <w:rFonts w:hint="eastAsia" w:ascii="宋体" w:hAnsi="宋体" w:cs="宋体"/>
          <w:szCs w:val="21"/>
        </w:rPr>
        <w:t>净值。</w:t>
      </w:r>
    </w:p>
    <w:p>
      <w:pPr>
        <w:spacing w:line="360" w:lineRule="auto"/>
        <w:ind w:firstLine="411" w:firstLineChars="196"/>
        <w:rPr>
          <w:rFonts w:ascii="宋体" w:hAnsi="宋体" w:cs="宋体"/>
          <w:szCs w:val="21"/>
        </w:rPr>
      </w:pPr>
      <w:r>
        <w:rPr>
          <w:rFonts w:ascii="宋体" w:hAnsi="宋体" w:cs="宋体"/>
          <w:szCs w:val="21"/>
        </w:rPr>
        <w:t>6.临时性信息披露：及时披露</w:t>
      </w:r>
      <w:r>
        <w:rPr>
          <w:rFonts w:hint="eastAsia" w:ascii="宋体" w:hAnsi="宋体" w:cs="宋体"/>
          <w:szCs w:val="21"/>
          <w:lang w:val="en-US" w:eastAsia="zh-CN"/>
        </w:rPr>
        <w:t>监管机构</w:t>
      </w:r>
      <w:r>
        <w:rPr>
          <w:rFonts w:ascii="宋体" w:hAnsi="宋体" w:cs="宋体"/>
          <w:szCs w:val="21"/>
        </w:rPr>
        <w:t>规定的其他信息或除重大事项事件以外的其他信息</w:t>
      </w:r>
      <w:r>
        <w:rPr>
          <w:rFonts w:hint="eastAsia" w:ascii="宋体" w:hAnsi="宋体" w:cs="宋体"/>
          <w:szCs w:val="21"/>
        </w:rPr>
        <w:t>，如发生涉及理财产品认（申）购、赎回事项调整或潜在影响投资者赎回等事项</w:t>
      </w:r>
      <w:r>
        <w:rPr>
          <w:rFonts w:ascii="宋体" w:hAnsi="宋体" w:cs="宋体"/>
          <w:szCs w:val="21"/>
        </w:rPr>
        <w:t>。</w:t>
      </w:r>
      <w:r>
        <w:rPr>
          <w:rFonts w:hint="eastAsia" w:ascii="宋体" w:hAnsi="宋体" w:cs="宋体"/>
          <w:szCs w:val="21"/>
        </w:rPr>
        <w:t>按照理财产品说明书中约定的信息披露方式，在运用收取短期赎回费、摆动定价等措施后，3个交易日内告知本理财产品的投资者；在运用暂停认（申）购、延期办理巨额赎回申请、暂停接受赎回申请、延缓支付赎回款项、暂停理财产品估值等措施后，将在3个交易所工作日内告知本理财产品的投资者，并将说明运用相关措施的原因、拟采取的应对安排等</w:t>
      </w:r>
      <w:r>
        <w:rPr>
          <w:rFonts w:ascii="宋体" w:hAnsi="宋体" w:cs="宋体"/>
          <w:szCs w:val="21"/>
        </w:rPr>
        <w:t>。</w:t>
      </w:r>
    </w:p>
    <w:p>
      <w:pPr>
        <w:spacing w:line="360" w:lineRule="auto"/>
        <w:ind w:firstLine="411" w:firstLineChars="196"/>
        <w:rPr>
          <w:rFonts w:ascii="宋体" w:hAnsi="宋体" w:cs="宋体"/>
          <w:szCs w:val="21"/>
        </w:rPr>
      </w:pPr>
      <w:r>
        <w:rPr>
          <w:rFonts w:ascii="宋体" w:hAnsi="宋体" w:cs="宋体"/>
          <w:szCs w:val="21"/>
        </w:rPr>
        <w:t>7.半年度整体报告：每半年披露从事理财业务活动的有关信息。</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（三）信息披露方式</w:t>
      </w:r>
    </w:p>
    <w:p>
      <w:pPr>
        <w:spacing w:line="360" w:lineRule="auto"/>
        <w:ind w:firstLine="411" w:firstLineChars="196"/>
        <w:rPr>
          <w:rFonts w:ascii="宋体" w:hAnsi="宋体" w:cs="宋体"/>
          <w:szCs w:val="21"/>
        </w:rPr>
      </w:pPr>
      <w:r>
        <w:rPr>
          <w:rFonts w:hint="eastAsia" w:ascii="宋体" w:hAnsi="宋体" w:cs="宋体"/>
          <w:bCs/>
          <w:szCs w:val="21"/>
        </w:rPr>
        <w:t>本产品信息将通过产品管理人官方网站或销售服务机构网上销售平台进行披露，请投资者及时关注。若由于投资者原因未能及时登陆产品管理人官方网站或销售服务机构网上销售平台获取披露信息，所造成的后果将由投资者自行承担，请审慎决定。</w:t>
      </w:r>
    </w:p>
    <w:p>
      <w:pPr>
        <w:spacing w:line="360" w:lineRule="auto"/>
        <w:ind w:firstLine="411" w:firstLineChars="196"/>
        <w:rPr>
          <w:rFonts w:ascii="宋体" w:hAnsi="宋体" w:cs="宋体"/>
          <w:szCs w:val="21"/>
        </w:rPr>
      </w:pPr>
      <w:r>
        <w:rPr>
          <w:rFonts w:hint="eastAsia" w:ascii="宋体" w:hAnsi="宋体" w:cs="宋体"/>
          <w:bCs/>
          <w:szCs w:val="21"/>
        </w:rPr>
        <w:t>投资者可通过销售服务机构网上销售平台在公募产品存续期内每月查询所持有的净值型理财产品账单。</w:t>
      </w:r>
    </w:p>
    <w:p>
      <w:pPr>
        <w:spacing w:line="360" w:lineRule="auto"/>
        <w:jc w:val="left"/>
        <w:rPr>
          <w:rFonts w:ascii="宋体" w:hAnsi="宋体" w:cs="宋体"/>
          <w:bCs/>
          <w:sz w:val="22"/>
        </w:rPr>
      </w:pPr>
    </w:p>
    <w:p>
      <w:pPr>
        <w:spacing w:line="360" w:lineRule="auto"/>
        <w:jc w:val="center"/>
        <w:outlineLvl w:val="0"/>
        <w:rPr>
          <w:rFonts w:ascii="宋体" w:hAnsi="宋体" w:cs="宋体"/>
          <w:b/>
          <w:bCs/>
          <w:sz w:val="28"/>
          <w:szCs w:val="28"/>
        </w:rPr>
      </w:pPr>
      <w:r>
        <w:rPr>
          <w:rFonts w:hint="eastAsia" w:ascii="宋体" w:hAnsi="宋体" w:cs="宋体"/>
          <w:b/>
          <w:bCs/>
          <w:sz w:val="28"/>
          <w:szCs w:val="28"/>
        </w:rPr>
        <w:t>十、其他</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（一）追索条款</w:t>
      </w:r>
    </w:p>
    <w:p>
      <w:pPr>
        <w:spacing w:line="360" w:lineRule="auto"/>
        <w:ind w:firstLine="413" w:firstLineChars="196"/>
        <w:rPr>
          <w:rFonts w:ascii="宋体" w:hAnsi="宋体" w:cs="宋体"/>
          <w:b/>
          <w:szCs w:val="21"/>
        </w:rPr>
      </w:pPr>
      <w:r>
        <w:rPr>
          <w:rFonts w:hint="eastAsia" w:ascii="宋体" w:hAnsi="宋体" w:cs="宋体"/>
          <w:b/>
          <w:szCs w:val="21"/>
        </w:rPr>
        <w:t>若本理财产品所投资的金融资产到期不能全部偿付导致资产减值甚至本金大幅损失，则光大理财将以管理人名义，代表投资者利益行使诉讼权利或者实施其他法律行为。</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（二）信息安全</w:t>
      </w:r>
    </w:p>
    <w:p>
      <w:pPr>
        <w:spacing w:line="360" w:lineRule="auto"/>
        <w:ind w:firstLine="413" w:firstLineChars="196"/>
        <w:rPr>
          <w:rFonts w:ascii="宋体" w:hAnsi="宋体" w:cs="宋体"/>
          <w:b/>
          <w:szCs w:val="21"/>
        </w:rPr>
      </w:pPr>
      <w:r>
        <w:rPr>
          <w:rFonts w:ascii="宋体" w:hAnsi="宋体" w:cs="宋体"/>
          <w:b/>
          <w:szCs w:val="21"/>
        </w:rPr>
        <w:t>产品管理人将按照法律法规规定收集、使用投资者信息，遵循正当、必要的原则，保证信息采集、处理及使用的安全性和合法性。未经投资者专门授权，不得将投资者信息及相关理财产品销售信息提供其他第三方机构和个人，法律、行政法规和</w:t>
      </w:r>
      <w:r>
        <w:rPr>
          <w:rFonts w:hint="eastAsia" w:ascii="宋体" w:hAnsi="宋体" w:cs="宋体"/>
          <w:b/>
          <w:szCs w:val="21"/>
        </w:rPr>
        <w:t>监管机构</w:t>
      </w:r>
      <w:r>
        <w:rPr>
          <w:rFonts w:ascii="宋体" w:hAnsi="宋体" w:cs="宋体"/>
          <w:b/>
          <w:szCs w:val="21"/>
        </w:rPr>
        <w:t>另有规定的除外。产品管理人应就理财产品销售过程中获知的投资者信息承担保密义务。投资者在此同意并授权，产品管理人可根据监管要求，为理财产品登记等需要，向登记部门或监管机构提供投资者相关信息。</w:t>
      </w:r>
    </w:p>
    <w:p>
      <w:pPr>
        <w:spacing w:line="360" w:lineRule="auto"/>
        <w:ind w:firstLine="413" w:firstLineChars="196"/>
        <w:outlineLvl w:val="1"/>
        <w:rPr>
          <w:rFonts w:ascii="宋体" w:hAnsi="宋体" w:cs="宋体"/>
          <w:b/>
          <w:bCs/>
          <w:szCs w:val="21"/>
        </w:rPr>
      </w:pPr>
      <w:r>
        <w:rPr>
          <w:rFonts w:hint="eastAsia" w:ascii="宋体" w:hAnsi="宋体" w:cs="宋体"/>
          <w:b/>
          <w:bCs/>
          <w:szCs w:val="21"/>
        </w:rPr>
        <w:t>（三）争议解决</w:t>
      </w:r>
    </w:p>
    <w:p>
      <w:pPr>
        <w:spacing w:line="360" w:lineRule="auto"/>
        <w:ind w:firstLine="413" w:firstLineChars="196"/>
        <w:rPr>
          <w:rFonts w:ascii="宋体" w:hAnsi="宋体" w:cs="宋体"/>
          <w:b/>
          <w:szCs w:val="21"/>
        </w:rPr>
      </w:pPr>
      <w:bookmarkStart w:id="17" w:name="_Hlk508966639"/>
      <w:r>
        <w:rPr>
          <w:rFonts w:ascii="宋体" w:hAnsi="宋体" w:cs="宋体"/>
          <w:b/>
          <w:szCs w:val="21"/>
        </w:rPr>
        <w:t>本</w:t>
      </w:r>
      <w:r>
        <w:rPr>
          <w:rFonts w:hint="eastAsia" w:ascii="宋体" w:hAnsi="宋体" w:cs="宋体"/>
          <w:b/>
          <w:szCs w:val="21"/>
        </w:rPr>
        <w:t>说明书</w:t>
      </w:r>
      <w:r>
        <w:rPr>
          <w:rFonts w:ascii="宋体" w:hAnsi="宋体" w:cs="宋体"/>
          <w:b/>
          <w:szCs w:val="21"/>
        </w:rPr>
        <w:t>的订立、生效、履行、解释、修改和终止等事项均适用中华人民共和国（为本</w:t>
      </w:r>
      <w:r>
        <w:rPr>
          <w:rFonts w:hint="eastAsia" w:ascii="宋体" w:hAnsi="宋体" w:cs="宋体"/>
          <w:b/>
          <w:szCs w:val="21"/>
        </w:rPr>
        <w:t>说明书</w:t>
      </w:r>
      <w:r>
        <w:rPr>
          <w:rFonts w:ascii="宋体" w:hAnsi="宋体" w:cs="宋体"/>
          <w:b/>
          <w:szCs w:val="21"/>
        </w:rPr>
        <w:t>之目的，不含港澳台）法律。因本</w:t>
      </w:r>
      <w:r>
        <w:rPr>
          <w:rFonts w:hint="eastAsia" w:ascii="宋体" w:hAnsi="宋体" w:cs="宋体"/>
          <w:b/>
          <w:szCs w:val="21"/>
        </w:rPr>
        <w:t>说明书</w:t>
      </w:r>
      <w:r>
        <w:rPr>
          <w:rFonts w:ascii="宋体" w:hAnsi="宋体" w:cs="宋体"/>
          <w:b/>
          <w:szCs w:val="21"/>
        </w:rPr>
        <w:t>引起的或与本</w:t>
      </w:r>
      <w:r>
        <w:rPr>
          <w:rFonts w:hint="eastAsia" w:ascii="宋体" w:hAnsi="宋体" w:cs="宋体"/>
          <w:b/>
          <w:szCs w:val="21"/>
        </w:rPr>
        <w:t>说明书</w:t>
      </w:r>
      <w:r>
        <w:rPr>
          <w:rFonts w:ascii="宋体" w:hAnsi="宋体" w:cs="宋体"/>
          <w:b/>
          <w:szCs w:val="21"/>
        </w:rPr>
        <w:t>有关的任何争议，应当首先通过双方之间的友好协商解决；协商不成的，双方均有权提交产品管理人所在地有管辖权的人民法院诉讼解决。</w:t>
      </w:r>
      <w:bookmarkEnd w:id="17"/>
    </w:p>
    <w:p>
      <w:pPr>
        <w:spacing w:line="360" w:lineRule="auto"/>
        <w:ind w:firstLine="413" w:firstLineChars="196"/>
        <w:rPr>
          <w:rFonts w:ascii="宋体" w:hAnsi="宋体" w:cs="宋体"/>
          <w:b/>
          <w:szCs w:val="21"/>
        </w:rPr>
      </w:pPr>
      <w:r>
        <w:rPr>
          <w:rFonts w:ascii="宋体" w:hAnsi="宋体" w:cs="宋体"/>
          <w:b/>
          <w:szCs w:val="21"/>
        </w:rPr>
        <w:t>产品管理人将恪守勤勉尽责的原则，合理配置资产组合，为</w:t>
      </w:r>
      <w:r>
        <w:rPr>
          <w:rFonts w:hint="eastAsia" w:ascii="宋体" w:hAnsi="宋体" w:cs="宋体"/>
          <w:b/>
          <w:szCs w:val="21"/>
        </w:rPr>
        <w:t>投资者</w:t>
      </w:r>
      <w:r>
        <w:rPr>
          <w:rFonts w:ascii="宋体" w:hAnsi="宋体" w:cs="宋体"/>
          <w:b/>
          <w:szCs w:val="21"/>
        </w:rPr>
        <w:t>提供专业化的理财服务。</w:t>
      </w:r>
      <w:r>
        <w:rPr>
          <w:rFonts w:hint="eastAsia" w:ascii="宋体" w:hAnsi="宋体" w:cs="宋体"/>
          <w:b/>
          <w:szCs w:val="21"/>
        </w:rPr>
        <w:t>投资者</w:t>
      </w:r>
      <w:r>
        <w:rPr>
          <w:rFonts w:ascii="宋体" w:hAnsi="宋体" w:cs="宋体"/>
          <w:b/>
          <w:szCs w:val="21"/>
        </w:rPr>
        <w:t>应密切关注产品管理人与本产品有关的信息公告，以免造成不必要的损失。</w:t>
      </w:r>
    </w:p>
    <w:p>
      <w:pPr>
        <w:spacing w:line="360" w:lineRule="auto"/>
        <w:rPr>
          <w:rFonts w:ascii="宋体" w:hAnsi="宋体" w:cs="宋体"/>
          <w:color w:val="000000"/>
          <w:szCs w:val="21"/>
        </w:rPr>
      </w:pPr>
    </w:p>
    <w:p>
      <w:pPr>
        <w:spacing w:line="360" w:lineRule="auto"/>
        <w:ind w:firstLine="413" w:firstLineChars="196"/>
        <w:rPr>
          <w:rFonts w:ascii="宋体" w:hAnsi="宋体" w:cs="宋体"/>
          <w:b/>
          <w:szCs w:val="21"/>
        </w:rPr>
      </w:pPr>
      <w:r>
        <w:rPr>
          <w:rFonts w:ascii="宋体" w:hAnsi="宋体" w:cs="宋体"/>
          <w:b/>
          <w:szCs w:val="21"/>
        </w:rPr>
        <w:t>投资者已阅读并领取《光大理财“</w:t>
      </w:r>
      <w:r>
        <w:rPr>
          <w:rFonts w:hint="eastAsia" w:ascii="宋体" w:hAnsi="宋体" w:cs="宋体"/>
          <w:b/>
          <w:szCs w:val="21"/>
          <w:lang w:eastAsia="zh-CN"/>
        </w:rPr>
        <w:t>阳光金增利稳健天天购3号（7天最低持有）</w:t>
      </w:r>
      <w:r>
        <w:rPr>
          <w:rFonts w:ascii="宋体" w:hAnsi="宋体" w:cs="宋体"/>
          <w:b/>
          <w:szCs w:val="21"/>
        </w:rPr>
        <w:t>”理财产品说明书》，充分了解本</w:t>
      </w:r>
      <w:r>
        <w:rPr>
          <w:rFonts w:hint="eastAsia" w:ascii="宋体" w:hAnsi="宋体" w:cs="宋体"/>
          <w:b/>
          <w:szCs w:val="21"/>
        </w:rPr>
        <w:t>理财</w:t>
      </w:r>
      <w:r>
        <w:rPr>
          <w:rFonts w:ascii="宋体" w:hAnsi="宋体" w:cs="宋体"/>
          <w:b/>
          <w:szCs w:val="21"/>
        </w:rPr>
        <w:t>产品的收益和风险，自愿购买。投资者对于产品管理人官方网站（http://www.cebwm.com）或销售服务机构网上销售平台公布的信息应及时浏览和阅读，该行为视为投资者已获取该信息。产品管理人或销售服务机构将通过</w:t>
      </w:r>
      <w:r>
        <w:rPr>
          <w:rFonts w:hint="eastAsia" w:ascii="宋体" w:hAnsi="宋体" w:cs="宋体"/>
          <w:b/>
          <w:szCs w:val="21"/>
        </w:rPr>
        <w:t>理财</w:t>
      </w:r>
      <w:r>
        <w:rPr>
          <w:rFonts w:ascii="宋体" w:hAnsi="宋体" w:cs="宋体"/>
          <w:b/>
          <w:szCs w:val="21"/>
        </w:rPr>
        <w:t>产品</w:t>
      </w:r>
      <w:r>
        <w:rPr>
          <w:rFonts w:hint="eastAsia" w:ascii="宋体" w:hAnsi="宋体" w:cs="宋体"/>
          <w:b/>
          <w:szCs w:val="21"/>
        </w:rPr>
        <w:t>销售文件</w:t>
      </w:r>
      <w:r>
        <w:rPr>
          <w:rFonts w:ascii="宋体" w:hAnsi="宋体" w:cs="宋体"/>
          <w:b/>
          <w:szCs w:val="21"/>
        </w:rPr>
        <w:t>中的联系方式告知投资者产品重要信息。若投资者联系方式变更，投资者需主动告知产品管理人或销售服务机构。如投资者未将联系方式变更及时通知产品管理人或销售服务机构，因此导致的产品信息无法告知或告知不及时，产品管理人和销售服务机构不承担由此产生的后果。</w:t>
      </w:r>
    </w:p>
    <w:p>
      <w:pPr>
        <w:spacing w:line="360" w:lineRule="auto"/>
        <w:ind w:firstLine="422" w:firstLineChars="200"/>
        <w:rPr>
          <w:rFonts w:ascii="宋体" w:hAnsi="宋体" w:cs="宋体"/>
          <w:b/>
          <w:szCs w:val="21"/>
        </w:rPr>
      </w:pPr>
      <w:r>
        <w:rPr>
          <w:rFonts w:hint="eastAsia" w:ascii="宋体" w:hAnsi="宋体" w:cs="宋体"/>
          <w:b/>
          <w:szCs w:val="21"/>
        </w:rPr>
        <w:t>▲▲▲投资者本人已仔细阅读理财产品完整销售文件（包括理财产品投资协议书、销售（代理销售）协议书、理财产品说明书、风险揭示书、投资者权益须知等），已完全理解理财产品投资的性质和面临的风险，投资者本人确认产品管理人或销售服务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360" w:lineRule="auto"/>
        <w:ind w:firstLine="422" w:firstLineChars="200"/>
        <w:rPr>
          <w:rFonts w:ascii="宋体" w:hAnsi="宋体" w:cs="宋体"/>
          <w:b/>
          <w:szCs w:val="21"/>
        </w:rPr>
      </w:pPr>
    </w:p>
    <w:p>
      <w:pPr>
        <w:tabs>
          <w:tab w:val="left" w:pos="6946"/>
        </w:tabs>
        <w:spacing w:line="360" w:lineRule="auto"/>
        <w:rPr>
          <w:rFonts w:ascii="宋体" w:hAnsi="宋体" w:cs="宋体"/>
          <w:b/>
          <w:bCs/>
          <w:snapToGrid w:val="0"/>
          <w:szCs w:val="21"/>
        </w:rPr>
      </w:pPr>
      <w:r>
        <w:rPr>
          <w:rFonts w:hint="eastAsia" w:ascii="宋体" w:hAnsi="宋体" w:cs="宋体"/>
          <w:b/>
          <w:bCs/>
          <w:snapToGrid w:val="0"/>
          <w:szCs w:val="21"/>
        </w:rPr>
        <w:t>个人投资者签字：</w:t>
      </w:r>
      <w:r>
        <w:rPr>
          <w:rFonts w:ascii="宋体" w:hAnsi="宋体" w:cs="宋体"/>
          <w:b/>
          <w:bCs/>
          <w:snapToGrid w:val="0"/>
          <w:szCs w:val="21"/>
        </w:rPr>
        <w:tab/>
      </w:r>
      <w:r>
        <w:rPr>
          <w:rFonts w:hint="eastAsia" w:ascii="宋体" w:hAnsi="宋体" w:cs="宋体"/>
          <w:b/>
          <w:bCs/>
          <w:snapToGrid w:val="0"/>
          <w:szCs w:val="21"/>
        </w:rPr>
        <w:t>日期：</w:t>
      </w:r>
    </w:p>
    <w:p>
      <w:pPr>
        <w:spacing w:line="360" w:lineRule="auto"/>
        <w:rPr>
          <w:rFonts w:ascii="宋体" w:hAnsi="宋体" w:cs="宋体"/>
          <w:b/>
          <w:bCs/>
          <w:snapToGrid w:val="0"/>
          <w:szCs w:val="21"/>
        </w:rPr>
      </w:pPr>
    </w:p>
    <w:p>
      <w:pPr>
        <w:spacing w:line="360" w:lineRule="auto"/>
        <w:rPr>
          <w:rFonts w:ascii="宋体" w:hAnsi="宋体" w:cs="宋体"/>
          <w:b/>
          <w:bCs/>
          <w:snapToGrid w:val="0"/>
          <w:szCs w:val="21"/>
        </w:rPr>
      </w:pPr>
      <w:r>
        <w:rPr>
          <w:rFonts w:hint="eastAsia" w:ascii="宋体" w:hAnsi="宋体" w:cs="宋体"/>
          <w:b/>
          <w:bCs/>
          <w:snapToGrid w:val="0"/>
          <w:szCs w:val="21"/>
        </w:rPr>
        <w:t>机构投资者（盖章）：</w:t>
      </w:r>
    </w:p>
    <w:p>
      <w:pPr>
        <w:tabs>
          <w:tab w:val="left" w:pos="6946"/>
        </w:tabs>
        <w:spacing w:line="360" w:lineRule="auto"/>
        <w:rPr>
          <w:rFonts w:ascii="宋体" w:hAnsi="宋体" w:cs="宋体"/>
          <w:b/>
          <w:bCs/>
          <w:snapToGrid w:val="0"/>
          <w:szCs w:val="21"/>
        </w:rPr>
      </w:pPr>
      <w:r>
        <w:rPr>
          <w:rFonts w:hint="eastAsia" w:ascii="宋体" w:hAnsi="宋体" w:cs="宋体"/>
          <w:b/>
          <w:bCs/>
          <w:snapToGrid w:val="0"/>
          <w:szCs w:val="21"/>
        </w:rPr>
        <w:t>机构投资者法定代表人或授权代表（签字或盖章）：</w:t>
      </w:r>
      <w:r>
        <w:rPr>
          <w:rFonts w:ascii="宋体" w:hAnsi="宋体" w:cs="宋体"/>
          <w:b/>
          <w:bCs/>
          <w:snapToGrid w:val="0"/>
          <w:szCs w:val="21"/>
        </w:rPr>
        <w:tab/>
      </w:r>
      <w:r>
        <w:rPr>
          <w:rFonts w:hint="eastAsia" w:ascii="宋体" w:hAnsi="宋体" w:cs="宋体"/>
          <w:b/>
          <w:bCs/>
          <w:snapToGrid w:val="0"/>
          <w:szCs w:val="21"/>
        </w:rPr>
        <w:t>日期：</w:t>
      </w:r>
    </w:p>
    <w:p>
      <w:pPr>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br w:type="page"/>
      </w:r>
      <w:r>
        <w:rPr>
          <w:rFonts w:hint="eastAsia" w:ascii="黑体" w:hAnsi="黑体" w:eastAsia="黑体" w:cs="黑体"/>
          <w:b/>
          <w:bCs/>
          <w:color w:val="000000"/>
          <w:sz w:val="36"/>
          <w:szCs w:val="36"/>
        </w:rPr>
        <w:t>光大理财有限责任公司理财产品投资协议书</w:t>
      </w:r>
    </w:p>
    <w:p>
      <w:pPr>
        <w:jc w:val="center"/>
        <w:outlineLvl w:val="0"/>
        <w:rPr>
          <w:spacing w:val="-2"/>
          <w:szCs w:val="21"/>
        </w:rPr>
      </w:pPr>
      <w:r>
        <w:rPr>
          <w:rFonts w:hint="eastAsia" w:ascii="黑体" w:hAnsi="黑体" w:eastAsia="黑体" w:cs="黑体"/>
          <w:b/>
          <w:bCs/>
          <w:color w:val="000000"/>
          <w:szCs w:val="21"/>
        </w:rPr>
        <w:t>理财非存款、产品有风险、投资须谨慎</w:t>
      </w:r>
    </w:p>
    <w:p>
      <w:pPr>
        <w:spacing w:line="336" w:lineRule="auto"/>
        <w:ind w:firstLine="422" w:firstLineChars="200"/>
        <w:outlineLvl w:val="0"/>
        <w:rPr>
          <w:rFonts w:ascii="宋体" w:hAnsi="宋体" w:cs="宋体"/>
          <w:b/>
          <w:bCs/>
          <w:szCs w:val="21"/>
        </w:rPr>
      </w:pPr>
      <w:r>
        <w:rPr>
          <w:rFonts w:hint="eastAsia" w:ascii="宋体" w:hAnsi="宋体" w:cs="宋体"/>
          <w:b/>
          <w:bCs/>
          <w:szCs w:val="21"/>
        </w:rPr>
        <w:t>一、重要声明</w:t>
      </w:r>
    </w:p>
    <w:p>
      <w:pPr>
        <w:spacing w:line="336" w:lineRule="auto"/>
        <w:ind w:firstLine="421"/>
        <w:rPr>
          <w:rFonts w:ascii="宋体" w:hAnsi="宋体"/>
          <w:spacing w:val="-2"/>
          <w:szCs w:val="21"/>
        </w:rPr>
      </w:pPr>
      <w:r>
        <w:rPr>
          <w:rFonts w:ascii="宋体" w:hAnsi="宋体"/>
          <w:spacing w:val="-2"/>
          <w:szCs w:val="21"/>
        </w:rPr>
        <w:t>本协议书与</w:t>
      </w:r>
      <w:r>
        <w:rPr>
          <w:rFonts w:hint="eastAsia" w:ascii="宋体" w:hAnsi="宋体"/>
          <w:spacing w:val="-2"/>
          <w:szCs w:val="21"/>
        </w:rPr>
        <w:t>理财</w:t>
      </w:r>
      <w:r>
        <w:rPr>
          <w:rFonts w:ascii="宋体" w:hAnsi="宋体"/>
          <w:spacing w:val="-2"/>
          <w:szCs w:val="21"/>
        </w:rPr>
        <w:t>产品说明书、风险揭示书、</w:t>
      </w:r>
      <w:r>
        <w:rPr>
          <w:rFonts w:hint="eastAsia" w:ascii="宋体" w:hAnsi="宋体"/>
          <w:spacing w:val="-2"/>
          <w:szCs w:val="21"/>
        </w:rPr>
        <w:t>投资者</w:t>
      </w:r>
      <w:r>
        <w:rPr>
          <w:rFonts w:ascii="宋体" w:hAnsi="宋体"/>
          <w:spacing w:val="-2"/>
          <w:szCs w:val="21"/>
        </w:rPr>
        <w:t>权益须知</w:t>
      </w:r>
      <w:r>
        <w:rPr>
          <w:rFonts w:hint="eastAsia" w:ascii="宋体" w:hAnsi="宋体"/>
          <w:spacing w:val="-2"/>
          <w:szCs w:val="21"/>
        </w:rPr>
        <w:t>、销售（代理销售）协议书</w:t>
      </w:r>
      <w:r>
        <w:rPr>
          <w:rFonts w:hint="eastAsia" w:ascii="宋体" w:hAnsi="宋体"/>
          <w:color w:val="000000"/>
          <w:szCs w:val="21"/>
        </w:rPr>
        <w:t>等</w:t>
      </w:r>
      <w:r>
        <w:rPr>
          <w:rFonts w:hint="eastAsia" w:ascii="宋体" w:hAnsi="宋体"/>
          <w:spacing w:val="-2"/>
          <w:szCs w:val="21"/>
        </w:rPr>
        <w:t>构</w:t>
      </w:r>
      <w:r>
        <w:rPr>
          <w:rFonts w:ascii="宋体" w:hAnsi="宋体"/>
          <w:spacing w:val="-2"/>
          <w:szCs w:val="21"/>
        </w:rPr>
        <w:t>成</w:t>
      </w:r>
      <w:r>
        <w:rPr>
          <w:rFonts w:hint="eastAsia" w:ascii="宋体" w:hAnsi="宋体"/>
          <w:spacing w:val="-2"/>
          <w:szCs w:val="21"/>
        </w:rPr>
        <w:t>本理财产品</w:t>
      </w:r>
      <w:r>
        <w:rPr>
          <w:rFonts w:ascii="宋体" w:hAnsi="宋体"/>
          <w:spacing w:val="-2"/>
          <w:szCs w:val="21"/>
        </w:rPr>
        <w:t>完整的不可分割的理财</w:t>
      </w:r>
      <w:r>
        <w:rPr>
          <w:rFonts w:hint="eastAsia" w:ascii="宋体" w:hAnsi="宋体"/>
          <w:spacing w:val="-2"/>
          <w:szCs w:val="21"/>
        </w:rPr>
        <w:t>产品</w:t>
      </w:r>
      <w:r>
        <w:rPr>
          <w:rFonts w:hint="eastAsia" w:ascii="宋体" w:hAnsi="宋体"/>
          <w:color w:val="000000"/>
          <w:szCs w:val="21"/>
        </w:rPr>
        <w:t>销售文件</w:t>
      </w:r>
      <w:r>
        <w:rPr>
          <w:rFonts w:ascii="宋体" w:hAnsi="宋体"/>
          <w:spacing w:val="-2"/>
          <w:szCs w:val="21"/>
        </w:rPr>
        <w:t>。</w:t>
      </w:r>
      <w:r>
        <w:rPr>
          <w:rFonts w:hint="eastAsia" w:ascii="宋体" w:hAnsi="宋体"/>
          <w:spacing w:val="-2"/>
          <w:szCs w:val="21"/>
        </w:rPr>
        <w:t>光大理财有限责任公司（以下简称“光大理财”）</w:t>
      </w:r>
      <w:r>
        <w:rPr>
          <w:rFonts w:ascii="宋体" w:hAnsi="宋体"/>
          <w:spacing w:val="-2"/>
          <w:szCs w:val="21"/>
        </w:rPr>
        <w:t>建议投资者在</w:t>
      </w:r>
      <w:r>
        <w:rPr>
          <w:rFonts w:hint="eastAsia" w:ascii="宋体" w:hAnsi="宋体"/>
          <w:spacing w:val="-2"/>
          <w:szCs w:val="21"/>
        </w:rPr>
        <w:t>购买</w:t>
      </w:r>
      <w:r>
        <w:rPr>
          <w:rFonts w:ascii="宋体" w:hAnsi="宋体"/>
          <w:spacing w:val="-2"/>
          <w:szCs w:val="21"/>
        </w:rPr>
        <w:t>本</w:t>
      </w:r>
      <w:r>
        <w:rPr>
          <w:rFonts w:hint="eastAsia" w:ascii="宋体" w:hAnsi="宋体"/>
          <w:spacing w:val="-2"/>
          <w:szCs w:val="21"/>
        </w:rPr>
        <w:t>理财</w:t>
      </w:r>
      <w:r>
        <w:rPr>
          <w:rFonts w:ascii="宋体" w:hAnsi="宋体"/>
          <w:spacing w:val="-2"/>
          <w:szCs w:val="21"/>
        </w:rPr>
        <w:t>产品前认真</w:t>
      </w:r>
      <w:r>
        <w:rPr>
          <w:rFonts w:hint="eastAsia" w:ascii="宋体" w:hAnsi="宋体"/>
          <w:spacing w:val="-2"/>
          <w:szCs w:val="21"/>
        </w:rPr>
        <w:t>、仔细</w:t>
      </w:r>
      <w:r>
        <w:rPr>
          <w:rFonts w:ascii="宋体" w:hAnsi="宋体"/>
          <w:spacing w:val="-2"/>
          <w:szCs w:val="21"/>
        </w:rPr>
        <w:t>阅读相关</w:t>
      </w:r>
      <w:r>
        <w:rPr>
          <w:rFonts w:hint="eastAsia" w:ascii="宋体" w:hAnsi="宋体"/>
          <w:spacing w:val="-2"/>
          <w:szCs w:val="21"/>
        </w:rPr>
        <w:t>理财</w:t>
      </w:r>
      <w:r>
        <w:rPr>
          <w:rFonts w:ascii="宋体" w:hAnsi="宋体"/>
          <w:spacing w:val="-2"/>
          <w:szCs w:val="21"/>
        </w:rPr>
        <w:t>产品</w:t>
      </w:r>
      <w:r>
        <w:rPr>
          <w:rFonts w:hint="eastAsia" w:ascii="宋体" w:hAnsi="宋体"/>
          <w:spacing w:val="-2"/>
          <w:szCs w:val="21"/>
        </w:rPr>
        <w:t>完整销售文件（</w:t>
      </w:r>
      <w:r>
        <w:rPr>
          <w:rFonts w:hint="eastAsia" w:ascii="宋体" w:hAnsi="宋体"/>
          <w:color w:val="000000"/>
        </w:rPr>
        <w:t>包括理财产品投资协议书、销售（代理销售）协议书、理财产品说明书、风险揭示书、投资者权益须知等</w:t>
      </w:r>
      <w:r>
        <w:rPr>
          <w:rFonts w:hint="eastAsia" w:ascii="宋体" w:hAnsi="宋体"/>
          <w:spacing w:val="-2"/>
          <w:szCs w:val="21"/>
        </w:rPr>
        <w:t>），了解理财产品具体情况，如有需要请及时</w:t>
      </w:r>
      <w:r>
        <w:rPr>
          <w:rFonts w:ascii="宋体" w:hAnsi="宋体"/>
          <w:spacing w:val="-2"/>
          <w:szCs w:val="21"/>
        </w:rPr>
        <w:t>咨询专业理财经理</w:t>
      </w:r>
      <w:r>
        <w:rPr>
          <w:rFonts w:hint="eastAsia" w:ascii="宋体" w:hAnsi="宋体"/>
          <w:spacing w:val="-2"/>
          <w:szCs w:val="21"/>
        </w:rPr>
        <w:t>。投资者</w:t>
      </w:r>
      <w:r>
        <w:rPr>
          <w:rFonts w:ascii="宋体" w:hAnsi="宋体"/>
          <w:spacing w:val="-2"/>
          <w:szCs w:val="21"/>
        </w:rPr>
        <w:t>签署本协议</w:t>
      </w:r>
      <w:r>
        <w:rPr>
          <w:rFonts w:hint="eastAsia" w:ascii="宋体" w:hAnsi="宋体"/>
          <w:spacing w:val="-2"/>
          <w:szCs w:val="21"/>
        </w:rPr>
        <w:t>（含电子渠道确认）</w:t>
      </w:r>
      <w:r>
        <w:rPr>
          <w:rFonts w:ascii="宋体" w:hAnsi="宋体"/>
          <w:spacing w:val="-2"/>
          <w:szCs w:val="21"/>
        </w:rPr>
        <w:t>则被视为已详细阅读过本协议</w:t>
      </w:r>
      <w:r>
        <w:rPr>
          <w:rFonts w:hint="eastAsia" w:ascii="宋体" w:hAnsi="宋体"/>
          <w:spacing w:val="-2"/>
          <w:szCs w:val="21"/>
        </w:rPr>
        <w:t>及完整理财产品销售文件</w:t>
      </w:r>
      <w:r>
        <w:rPr>
          <w:rFonts w:ascii="宋体" w:hAnsi="宋体"/>
          <w:spacing w:val="-2"/>
          <w:szCs w:val="21"/>
        </w:rPr>
        <w:t>，并充分理解</w:t>
      </w:r>
      <w:r>
        <w:rPr>
          <w:rFonts w:hint="eastAsia" w:ascii="宋体" w:hAnsi="宋体"/>
          <w:spacing w:val="-2"/>
          <w:szCs w:val="21"/>
        </w:rPr>
        <w:t>本理财产品销售文件各项条款</w:t>
      </w:r>
      <w:r>
        <w:rPr>
          <w:rFonts w:ascii="宋体" w:hAnsi="宋体"/>
          <w:spacing w:val="-2"/>
          <w:szCs w:val="21"/>
        </w:rPr>
        <w:t>和潜在风险，自愿购买</w:t>
      </w:r>
      <w:r>
        <w:rPr>
          <w:rFonts w:hint="eastAsia" w:ascii="宋体" w:hAnsi="宋体"/>
          <w:spacing w:val="-2"/>
          <w:szCs w:val="21"/>
        </w:rPr>
        <w:t>本</w:t>
      </w:r>
      <w:r>
        <w:rPr>
          <w:rFonts w:ascii="宋体" w:hAnsi="宋体"/>
          <w:spacing w:val="-2"/>
          <w:szCs w:val="21"/>
        </w:rPr>
        <w:t>理财产品，并遵守本</w:t>
      </w:r>
      <w:r>
        <w:rPr>
          <w:rFonts w:hint="eastAsia" w:ascii="宋体" w:hAnsi="宋体"/>
          <w:spacing w:val="-2"/>
          <w:szCs w:val="21"/>
        </w:rPr>
        <w:t>理财产品完整理财产品销售文件中</w:t>
      </w:r>
      <w:r>
        <w:rPr>
          <w:rFonts w:ascii="宋体" w:hAnsi="宋体"/>
          <w:spacing w:val="-2"/>
          <w:szCs w:val="21"/>
        </w:rPr>
        <w:t>的各项规定。</w:t>
      </w:r>
      <w:r>
        <w:rPr>
          <w:rFonts w:hint="eastAsia" w:ascii="宋体" w:hAnsi="宋体"/>
          <w:spacing w:val="-2"/>
          <w:szCs w:val="21"/>
        </w:rPr>
        <w:t>其中，理财产品认（申）购、赎回等业务限制详见说明书第六部分（产品运作）相关约定，具体开放或者暂停认（申）购、赎回等业务的相关安排请以理财产品信息披露为准。</w:t>
      </w:r>
    </w:p>
    <w:p>
      <w:pPr>
        <w:spacing w:line="336" w:lineRule="auto"/>
        <w:ind w:firstLine="421"/>
        <w:rPr>
          <w:rFonts w:ascii="宋体" w:hAnsi="宋体"/>
          <w:spacing w:val="-2"/>
          <w:szCs w:val="21"/>
        </w:rPr>
      </w:pPr>
      <w:r>
        <w:rPr>
          <w:rFonts w:ascii="宋体" w:hAnsi="宋体"/>
          <w:spacing w:val="-2"/>
          <w:szCs w:val="21"/>
        </w:rPr>
        <w:t>本理财产品不保证本金和收益。受各种市场波动因素影响，本</w:t>
      </w:r>
      <w:r>
        <w:rPr>
          <w:rFonts w:hint="eastAsia" w:ascii="宋体" w:hAnsi="宋体"/>
          <w:spacing w:val="-2"/>
          <w:szCs w:val="21"/>
        </w:rPr>
        <w:t>理财</w:t>
      </w:r>
      <w:r>
        <w:rPr>
          <w:rFonts w:ascii="宋体" w:hAnsi="宋体"/>
          <w:spacing w:val="-2"/>
          <w:szCs w:val="21"/>
        </w:rPr>
        <w:t>产品可能</w:t>
      </w:r>
      <w:r>
        <w:rPr>
          <w:rFonts w:hint="eastAsia" w:ascii="宋体" w:hAnsi="宋体"/>
          <w:spacing w:val="-2"/>
          <w:szCs w:val="21"/>
        </w:rPr>
        <w:t>存在风险揭示书中列示的风险</w:t>
      </w:r>
      <w:r>
        <w:rPr>
          <w:rFonts w:ascii="宋体" w:hAnsi="宋体"/>
          <w:spacing w:val="-2"/>
          <w:szCs w:val="21"/>
        </w:rPr>
        <w:t>，具体风险因素由光大理财在</w:t>
      </w:r>
      <w:r>
        <w:rPr>
          <w:rFonts w:hint="eastAsia" w:ascii="宋体" w:hAnsi="宋体"/>
          <w:spacing w:val="-2"/>
          <w:szCs w:val="21"/>
        </w:rPr>
        <w:t>理财</w:t>
      </w:r>
      <w:r>
        <w:rPr>
          <w:rFonts w:ascii="宋体" w:hAnsi="宋体"/>
          <w:spacing w:val="-2"/>
          <w:szCs w:val="21"/>
        </w:rPr>
        <w:t>产品</w:t>
      </w:r>
      <w:r>
        <w:rPr>
          <w:rFonts w:hint="eastAsia" w:ascii="宋体" w:hAnsi="宋体"/>
          <w:spacing w:val="-2"/>
          <w:szCs w:val="21"/>
        </w:rPr>
        <w:t>风险揭示书</w:t>
      </w:r>
      <w:r>
        <w:rPr>
          <w:rFonts w:ascii="宋体" w:hAnsi="宋体"/>
          <w:spacing w:val="-2"/>
          <w:szCs w:val="21"/>
        </w:rPr>
        <w:t>中揭示。请您充分认识投资风险，谨慎投资。</w:t>
      </w:r>
    </w:p>
    <w:p>
      <w:pPr>
        <w:spacing w:line="336" w:lineRule="auto"/>
        <w:ind w:firstLine="421"/>
        <w:rPr>
          <w:rFonts w:ascii="宋体" w:hAnsi="宋体"/>
          <w:spacing w:val="-2"/>
          <w:szCs w:val="21"/>
        </w:rPr>
      </w:pPr>
      <w:r>
        <w:rPr>
          <w:rFonts w:hint="eastAsia" w:ascii="宋体" w:hAnsi="宋体"/>
          <w:spacing w:val="-2"/>
          <w:szCs w:val="21"/>
        </w:rPr>
        <w:t>投资者通过电子渠道购买理财产品的，在此特别同意理财产品销售服务机构完整客观记录营销推介、产品风险和关键信息提示、投资者确认和反馈等重点销售环节，确保能够满足回溯检查和核查取证的需要。</w:t>
      </w:r>
    </w:p>
    <w:p>
      <w:pPr>
        <w:spacing w:line="336" w:lineRule="auto"/>
        <w:ind w:firstLine="422" w:firstLineChars="200"/>
        <w:outlineLvl w:val="0"/>
        <w:rPr>
          <w:rFonts w:ascii="宋体" w:hAnsi="宋体" w:cs="宋体"/>
          <w:b/>
          <w:bCs/>
          <w:szCs w:val="21"/>
        </w:rPr>
      </w:pPr>
      <w:r>
        <w:rPr>
          <w:rFonts w:hint="eastAsia" w:ascii="宋体" w:hAnsi="宋体" w:cs="宋体"/>
          <w:b/>
          <w:bCs/>
          <w:szCs w:val="21"/>
        </w:rPr>
        <w:t>二、名词释义</w:t>
      </w:r>
    </w:p>
    <w:p>
      <w:pPr>
        <w:tabs>
          <w:tab w:val="left" w:pos="709"/>
        </w:tabs>
        <w:spacing w:line="336" w:lineRule="auto"/>
        <w:ind w:firstLine="420"/>
        <w:rPr>
          <w:rFonts w:ascii="宋体" w:hAnsi="宋体" w:cs="宋体"/>
          <w:szCs w:val="21"/>
        </w:rPr>
      </w:pPr>
      <w:r>
        <w:rPr>
          <w:rFonts w:hint="eastAsia" w:ascii="宋体" w:hAnsi="宋体" w:cs="宋体"/>
          <w:szCs w:val="21"/>
        </w:rPr>
        <w:t>1.理财产品/产品：指光大理财有限责任公司按照双方约定的条件和实际投资收益情况向投资者支付收益、不保证本金支付和收益水平的非保本理财产品。</w:t>
      </w:r>
    </w:p>
    <w:p>
      <w:pPr>
        <w:tabs>
          <w:tab w:val="left" w:pos="709"/>
        </w:tabs>
        <w:spacing w:line="336" w:lineRule="auto"/>
        <w:ind w:firstLine="420"/>
        <w:rPr>
          <w:rFonts w:ascii="宋体" w:hAnsi="宋体" w:cs="宋体"/>
          <w:szCs w:val="21"/>
        </w:rPr>
      </w:pPr>
      <w:r>
        <w:rPr>
          <w:rFonts w:hint="eastAsia" w:ascii="宋体" w:hAnsi="宋体" w:cs="宋体"/>
          <w:szCs w:val="21"/>
        </w:rPr>
        <w:t>2.产品开放日：开放日当日投资者可办理产品购买、赎回等交易，具体开放日、开市时间、闭市时间以理财产品说明书约定为准。</w:t>
      </w:r>
    </w:p>
    <w:p>
      <w:pPr>
        <w:tabs>
          <w:tab w:val="left" w:pos="709"/>
        </w:tabs>
        <w:spacing w:line="336" w:lineRule="auto"/>
        <w:ind w:firstLine="420"/>
        <w:rPr>
          <w:rFonts w:ascii="宋体" w:hAnsi="宋体" w:cs="宋体"/>
          <w:szCs w:val="21"/>
        </w:rPr>
      </w:pPr>
      <w:r>
        <w:rPr>
          <w:rFonts w:hint="eastAsia" w:ascii="宋体" w:hAnsi="宋体" w:cs="宋体"/>
          <w:szCs w:val="21"/>
        </w:rPr>
        <w:t>3.认购、申购：认购是指投资者在募集期开始日至结束日进行的购买行为。申购是指在产品开放期间，投资者进行的购买行为。</w:t>
      </w:r>
    </w:p>
    <w:p>
      <w:pPr>
        <w:tabs>
          <w:tab w:val="left" w:pos="709"/>
        </w:tabs>
        <w:spacing w:line="336" w:lineRule="auto"/>
        <w:ind w:firstLine="420"/>
        <w:rPr>
          <w:rFonts w:ascii="宋体" w:hAnsi="宋体" w:cs="宋体"/>
          <w:szCs w:val="21"/>
        </w:rPr>
      </w:pPr>
      <w:r>
        <w:rPr>
          <w:rFonts w:hint="eastAsia" w:ascii="宋体" w:hAnsi="宋体" w:cs="宋体"/>
          <w:szCs w:val="21"/>
        </w:rPr>
        <w:t>4.赎回：赎回指投资者根据理财产品说明书、风险提示书、投资者权益须知、理财产品销售（代理销售）协议书以及相关公告的规定将理财份额兑换为现金的行为。赎回是指投资者在理财产品开放日向光大理财申请赎回理财份额的行为。</w:t>
      </w:r>
    </w:p>
    <w:p>
      <w:pPr>
        <w:tabs>
          <w:tab w:val="left" w:pos="709"/>
        </w:tabs>
        <w:spacing w:line="336" w:lineRule="auto"/>
        <w:ind w:firstLine="420"/>
        <w:rPr>
          <w:rFonts w:ascii="宋体" w:hAnsi="宋体" w:cs="宋体"/>
          <w:szCs w:val="21"/>
        </w:rPr>
      </w:pPr>
      <w:r>
        <w:rPr>
          <w:rFonts w:hint="eastAsia" w:ascii="宋体" w:hAnsi="宋体" w:cs="宋体"/>
          <w:szCs w:val="21"/>
        </w:rPr>
        <w:t>5.巨额赎回：在产品的</w:t>
      </w:r>
      <w:r>
        <w:rPr>
          <w:rFonts w:ascii="宋体" w:hAnsi="宋体" w:cs="宋体"/>
          <w:szCs w:val="21"/>
        </w:rPr>
        <w:t>单</w:t>
      </w:r>
      <w:r>
        <w:rPr>
          <w:rFonts w:hint="eastAsia" w:ascii="宋体" w:hAnsi="宋体" w:cs="宋体"/>
          <w:szCs w:val="21"/>
        </w:rPr>
        <w:t>个开放日，产品</w:t>
      </w:r>
      <w:r>
        <w:rPr>
          <w:rFonts w:ascii="宋体" w:hAnsi="宋体" w:cs="宋体"/>
          <w:szCs w:val="21"/>
        </w:rPr>
        <w:t>净</w:t>
      </w:r>
      <w:r>
        <w:rPr>
          <w:rFonts w:hint="eastAsia" w:ascii="宋体" w:hAnsi="宋体" w:cs="宋体"/>
          <w:szCs w:val="21"/>
        </w:rPr>
        <w:t>赎回</w:t>
      </w:r>
      <w:r>
        <w:rPr>
          <w:rFonts w:ascii="宋体" w:hAnsi="宋体" w:cs="宋体"/>
          <w:szCs w:val="21"/>
        </w:rPr>
        <w:t>申请</w:t>
      </w:r>
      <w:r>
        <w:rPr>
          <w:rFonts w:hint="eastAsia" w:ascii="宋体" w:hAnsi="宋体" w:cs="宋体"/>
          <w:szCs w:val="21"/>
        </w:rPr>
        <w:t>超过上一日产品总份额的理财产品说明书约定比例时，为巨额赎回。出现巨额赎回时，光大理财将根据理财产品说明书内相关内容，决定接受全额赎回或部分延期赎回。</w:t>
      </w:r>
    </w:p>
    <w:p>
      <w:pPr>
        <w:tabs>
          <w:tab w:val="left" w:pos="709"/>
        </w:tabs>
        <w:spacing w:line="336" w:lineRule="auto"/>
        <w:ind w:firstLine="420"/>
        <w:rPr>
          <w:rFonts w:ascii="宋体" w:hAnsi="宋体" w:cs="宋体"/>
          <w:szCs w:val="21"/>
        </w:rPr>
      </w:pPr>
      <w:r>
        <w:rPr>
          <w:rFonts w:ascii="宋体" w:hAnsi="宋体" w:cs="宋体"/>
          <w:szCs w:val="21"/>
        </w:rPr>
        <w:t>6</w:t>
      </w:r>
      <w:r>
        <w:rPr>
          <w:rFonts w:hint="eastAsia" w:ascii="宋体" w:hAnsi="宋体" w:cs="宋体"/>
          <w:szCs w:val="21"/>
        </w:rPr>
        <w:t>.收益分配：是指理财产品将其所实现收益根据投资者持有的理财产品份额和符合法规规定的收益规则分配给投资者，于权益登记日在理财业务注册登记系统登记的个人及机构投资者享有收益分配权。</w:t>
      </w:r>
    </w:p>
    <w:p>
      <w:pPr>
        <w:spacing w:line="336" w:lineRule="auto"/>
        <w:ind w:firstLine="422" w:firstLineChars="200"/>
        <w:rPr>
          <w:rFonts w:ascii="宋体" w:hAnsi="宋体" w:cs="宋体"/>
          <w:b/>
          <w:bCs/>
          <w:szCs w:val="21"/>
        </w:rPr>
      </w:pPr>
      <w:r>
        <w:rPr>
          <w:rFonts w:hint="eastAsia" w:ascii="宋体" w:hAnsi="宋体" w:cs="宋体"/>
          <w:b/>
          <w:bCs/>
          <w:szCs w:val="21"/>
        </w:rPr>
        <w:t>三、税收规定</w:t>
      </w:r>
    </w:p>
    <w:p>
      <w:pPr>
        <w:spacing w:line="360" w:lineRule="auto"/>
        <w:ind w:firstLine="411" w:firstLineChars="196"/>
        <w:rPr>
          <w:rFonts w:ascii="宋体" w:hAnsi="宋体" w:cs="宋体"/>
          <w:szCs w:val="21"/>
        </w:rPr>
      </w:pPr>
      <w:r>
        <w:rPr>
          <w:rFonts w:hint="eastAsia" w:ascii="宋体" w:hAnsi="宋体" w:cs="宋体"/>
          <w:szCs w:val="21"/>
        </w:rPr>
        <w:t>1.本理财产品运营过程中发生的增值税应税行为，由各纳税主体，根据中国增值税等税收相关法律法规、税收政策等要求进行申报和缴纳；</w:t>
      </w:r>
    </w:p>
    <w:p>
      <w:pPr>
        <w:spacing w:line="360" w:lineRule="auto"/>
        <w:ind w:firstLine="411" w:firstLineChars="196"/>
        <w:rPr>
          <w:rFonts w:ascii="宋体" w:hAnsi="宋体" w:cs="宋体"/>
          <w:szCs w:val="21"/>
        </w:rPr>
      </w:pPr>
      <w:r>
        <w:rPr>
          <w:rFonts w:hint="eastAsia" w:ascii="宋体" w:hAnsi="宋体" w:cs="宋体"/>
          <w:szCs w:val="21"/>
        </w:rPr>
        <w:t>2.若本理财产品适用法律法规、税收政策要求管理人代扣代缴理财产品投资者应纳税款的，管理人将依法履行扣缴义务。投资者及其他签约方（如有）应同意本理财产品在运营过程应缴纳的增值税及附加税费（包括但不限于城市维护建设税、教育费附加及地方教育附加等）由管理人从理财产品财产中支付，并由管理人根据中国税务机关要求，履行相关纳税申报义务，由此可能会使理财产品净值或实际收益降低，请投资者知悉；</w:t>
      </w:r>
    </w:p>
    <w:p>
      <w:pPr>
        <w:tabs>
          <w:tab w:val="left" w:pos="709"/>
        </w:tabs>
        <w:spacing w:line="336" w:lineRule="auto"/>
        <w:ind w:firstLine="420"/>
        <w:rPr>
          <w:rFonts w:ascii="宋体" w:hAnsi="宋体" w:cs="宋体"/>
          <w:szCs w:val="21"/>
        </w:rPr>
      </w:pPr>
      <w:r>
        <w:rPr>
          <w:rFonts w:hint="eastAsia" w:ascii="宋体" w:hAnsi="宋体" w:cs="宋体"/>
          <w:szCs w:val="21"/>
        </w:rPr>
        <w:t>3.本理财产品有关的增值税及其他税收的法律法规和税收政策发生变化，管理人应当根据法律法规和税收政策的最新规定执行。请投资者知悉，此类税收调整，可能影响理财产品投资收益情况。</w:t>
      </w:r>
    </w:p>
    <w:p>
      <w:pPr>
        <w:spacing w:line="336" w:lineRule="auto"/>
        <w:ind w:firstLine="422" w:firstLineChars="200"/>
        <w:rPr>
          <w:rFonts w:ascii="宋体" w:hAnsi="宋体" w:cs="宋体"/>
          <w:b/>
          <w:bCs/>
          <w:szCs w:val="21"/>
        </w:rPr>
      </w:pPr>
      <w:r>
        <w:rPr>
          <w:rFonts w:hint="eastAsia" w:ascii="宋体" w:hAnsi="宋体" w:cs="宋体"/>
          <w:b/>
          <w:bCs/>
          <w:szCs w:val="21"/>
        </w:rPr>
        <w:t>四、理财产品投资者的权利与义务</w:t>
      </w:r>
    </w:p>
    <w:p>
      <w:pPr>
        <w:tabs>
          <w:tab w:val="left" w:pos="709"/>
        </w:tabs>
        <w:spacing w:line="336" w:lineRule="auto"/>
        <w:ind w:firstLine="420"/>
        <w:rPr>
          <w:rFonts w:ascii="宋体" w:hAnsi="宋体" w:cs="宋体"/>
          <w:szCs w:val="21"/>
        </w:rPr>
      </w:pPr>
      <w:r>
        <w:rPr>
          <w:rFonts w:hint="eastAsia" w:ascii="宋体" w:hAnsi="宋体" w:cs="宋体"/>
          <w:szCs w:val="21"/>
        </w:rPr>
        <w:t>（一）理财产品投资者的权利</w:t>
      </w:r>
    </w:p>
    <w:p>
      <w:pPr>
        <w:tabs>
          <w:tab w:val="left" w:pos="709"/>
        </w:tabs>
        <w:spacing w:line="336" w:lineRule="auto"/>
        <w:ind w:firstLine="420"/>
        <w:rPr>
          <w:rFonts w:ascii="宋体" w:hAnsi="宋体" w:cs="宋体"/>
          <w:szCs w:val="21"/>
        </w:rPr>
      </w:pPr>
      <w:r>
        <w:rPr>
          <w:rFonts w:ascii="宋体" w:hAnsi="宋体" w:cs="宋体"/>
          <w:szCs w:val="21"/>
        </w:rPr>
        <w:t>1.按理财产品</w:t>
      </w:r>
      <w:r>
        <w:rPr>
          <w:rFonts w:hint="eastAsia" w:ascii="宋体" w:hAnsi="宋体" w:cs="宋体"/>
          <w:szCs w:val="21"/>
        </w:rPr>
        <w:t>销售文件</w:t>
      </w:r>
      <w:r>
        <w:rPr>
          <w:rFonts w:ascii="宋体" w:hAnsi="宋体" w:cs="宋体"/>
          <w:szCs w:val="21"/>
        </w:rPr>
        <w:t>的约定取得理财收益</w:t>
      </w:r>
      <w:r>
        <w:rPr>
          <w:rFonts w:hint="eastAsia" w:ascii="宋体" w:hAnsi="宋体" w:cs="宋体"/>
          <w:szCs w:val="21"/>
        </w:rPr>
        <w:t>。</w:t>
      </w:r>
    </w:p>
    <w:p>
      <w:pPr>
        <w:tabs>
          <w:tab w:val="left" w:pos="709"/>
        </w:tabs>
        <w:spacing w:line="336" w:lineRule="auto"/>
        <w:ind w:firstLine="420"/>
        <w:rPr>
          <w:rFonts w:ascii="宋体" w:hAnsi="宋体" w:cs="宋体"/>
          <w:szCs w:val="21"/>
        </w:rPr>
      </w:pPr>
      <w:r>
        <w:rPr>
          <w:rFonts w:ascii="宋体" w:hAnsi="宋体" w:cs="宋体"/>
          <w:szCs w:val="21"/>
        </w:rPr>
        <w:t>2.按理财产品</w:t>
      </w:r>
      <w:r>
        <w:rPr>
          <w:rFonts w:hint="eastAsia" w:ascii="宋体" w:hAnsi="宋体" w:cs="宋体"/>
          <w:szCs w:val="21"/>
        </w:rPr>
        <w:t>销售文件</w:t>
      </w:r>
      <w:r>
        <w:rPr>
          <w:rFonts w:ascii="宋体" w:hAnsi="宋体" w:cs="宋体"/>
          <w:szCs w:val="21"/>
        </w:rPr>
        <w:t>的约定查询获得公开披露的理财产品信息资料</w:t>
      </w:r>
      <w:r>
        <w:rPr>
          <w:rFonts w:hint="eastAsia" w:ascii="宋体" w:hAnsi="宋体" w:cs="宋体"/>
          <w:szCs w:val="21"/>
        </w:rPr>
        <w:t>。</w:t>
      </w:r>
    </w:p>
    <w:p>
      <w:pPr>
        <w:tabs>
          <w:tab w:val="left" w:pos="709"/>
        </w:tabs>
        <w:spacing w:line="336" w:lineRule="auto"/>
        <w:ind w:firstLine="420"/>
        <w:rPr>
          <w:rFonts w:ascii="宋体" w:hAnsi="宋体" w:cs="宋体"/>
          <w:szCs w:val="21"/>
        </w:rPr>
      </w:pPr>
      <w:r>
        <w:rPr>
          <w:rFonts w:ascii="宋体" w:hAnsi="宋体" w:cs="宋体"/>
          <w:szCs w:val="21"/>
        </w:rPr>
        <w:t>3.产品终止后对清算后的理财产品资产净值按理财产品持有份额比例参与分配</w:t>
      </w:r>
      <w:r>
        <w:rPr>
          <w:rFonts w:hint="eastAsia" w:ascii="宋体" w:hAnsi="宋体" w:cs="宋体"/>
          <w:szCs w:val="21"/>
        </w:rPr>
        <w:t>。</w:t>
      </w:r>
    </w:p>
    <w:p>
      <w:pPr>
        <w:tabs>
          <w:tab w:val="left" w:pos="709"/>
        </w:tabs>
        <w:spacing w:line="336" w:lineRule="auto"/>
        <w:ind w:firstLine="420"/>
        <w:rPr>
          <w:rFonts w:ascii="宋体" w:hAnsi="宋体" w:cs="宋体"/>
          <w:szCs w:val="21"/>
        </w:rPr>
      </w:pPr>
      <w:r>
        <w:rPr>
          <w:rFonts w:ascii="宋体" w:hAnsi="宋体" w:cs="宋体"/>
          <w:szCs w:val="21"/>
        </w:rPr>
        <w:t>4.法律法规、理财产品</w:t>
      </w:r>
      <w:r>
        <w:rPr>
          <w:rFonts w:hint="eastAsia" w:ascii="宋体" w:hAnsi="宋体" w:cs="宋体"/>
          <w:szCs w:val="21"/>
        </w:rPr>
        <w:t>销售文件</w:t>
      </w:r>
      <w:r>
        <w:rPr>
          <w:rFonts w:ascii="宋体" w:hAnsi="宋体" w:cs="宋体"/>
          <w:szCs w:val="21"/>
        </w:rPr>
        <w:t>规定的</w:t>
      </w:r>
      <w:r>
        <w:rPr>
          <w:rFonts w:hint="eastAsia" w:ascii="宋体" w:hAnsi="宋体" w:cs="宋体"/>
          <w:szCs w:val="21"/>
        </w:rPr>
        <w:t>其他</w:t>
      </w:r>
      <w:r>
        <w:rPr>
          <w:rFonts w:ascii="宋体" w:hAnsi="宋体" w:cs="宋体"/>
          <w:szCs w:val="21"/>
        </w:rPr>
        <w:t>权利。</w:t>
      </w:r>
    </w:p>
    <w:p>
      <w:pPr>
        <w:tabs>
          <w:tab w:val="left" w:pos="709"/>
        </w:tabs>
        <w:spacing w:line="336" w:lineRule="auto"/>
        <w:ind w:firstLine="420"/>
        <w:rPr>
          <w:rFonts w:ascii="宋体" w:hAnsi="宋体" w:cs="宋体"/>
          <w:szCs w:val="21"/>
        </w:rPr>
      </w:pPr>
      <w:bookmarkStart w:id="18" w:name="_Hlk75174416"/>
      <w:r>
        <w:rPr>
          <w:rFonts w:hint="eastAsia" w:ascii="宋体" w:hAnsi="宋体" w:cs="宋体"/>
          <w:szCs w:val="21"/>
        </w:rPr>
        <w:t>（二）理财产品投资者的义务</w:t>
      </w:r>
    </w:p>
    <w:bookmarkEnd w:id="18"/>
    <w:p>
      <w:pPr>
        <w:tabs>
          <w:tab w:val="left" w:pos="709"/>
        </w:tabs>
        <w:spacing w:line="336" w:lineRule="auto"/>
        <w:ind w:firstLine="420"/>
        <w:rPr>
          <w:rFonts w:ascii="宋体" w:hAnsi="宋体" w:cs="宋体"/>
          <w:szCs w:val="21"/>
        </w:rPr>
      </w:pPr>
      <w:r>
        <w:rPr>
          <w:rFonts w:ascii="宋体" w:hAnsi="宋体" w:cs="宋体"/>
          <w:szCs w:val="21"/>
        </w:rPr>
        <w:t>1.</w:t>
      </w:r>
      <w:r>
        <w:rPr>
          <w:rFonts w:hint="eastAsia" w:ascii="宋体" w:hAnsi="宋体" w:cs="宋体"/>
          <w:szCs w:val="21"/>
        </w:rPr>
        <w:t>需为具有完全民事行为能力的个人或机构，在签署本协议前已经阅读拟投资理财产品的理财产品说明书、风险揭示书、投资者权益须知、销售（代理销售）协议书等销售文件并清楚知晓其内容，对有关条款不存在任何疑问或异议。</w:t>
      </w:r>
    </w:p>
    <w:p>
      <w:pPr>
        <w:tabs>
          <w:tab w:val="left" w:pos="709"/>
        </w:tabs>
        <w:spacing w:line="336" w:lineRule="auto"/>
        <w:ind w:firstLine="420"/>
        <w:rPr>
          <w:rFonts w:ascii="宋体" w:hAnsi="宋体" w:cs="宋体"/>
          <w:szCs w:val="21"/>
        </w:rPr>
      </w:pPr>
      <w:r>
        <w:rPr>
          <w:rFonts w:ascii="宋体" w:hAnsi="宋体" w:cs="宋体"/>
          <w:szCs w:val="21"/>
        </w:rPr>
        <w:t>2.</w:t>
      </w:r>
      <w:r>
        <w:rPr>
          <w:rFonts w:hint="eastAsia" w:ascii="宋体" w:hAnsi="宋体" w:cs="宋体"/>
          <w:szCs w:val="21"/>
        </w:rPr>
        <w:t>全额缴纳理财产品认购、申购和赎回等事宜涉及的款项及规定的费用。</w:t>
      </w:r>
    </w:p>
    <w:p>
      <w:pPr>
        <w:tabs>
          <w:tab w:val="left" w:pos="709"/>
        </w:tabs>
        <w:spacing w:line="336" w:lineRule="auto"/>
        <w:ind w:firstLine="420"/>
        <w:rPr>
          <w:rFonts w:ascii="宋体" w:hAnsi="宋体" w:cs="宋体"/>
          <w:szCs w:val="21"/>
        </w:rPr>
      </w:pPr>
      <w:r>
        <w:rPr>
          <w:rFonts w:ascii="宋体" w:hAnsi="宋体" w:cs="宋体"/>
          <w:szCs w:val="21"/>
        </w:rPr>
        <w:t>3.</w:t>
      </w:r>
      <w:r>
        <w:rPr>
          <w:rFonts w:hint="eastAsia" w:ascii="宋体" w:hAnsi="宋体" w:cs="宋体"/>
          <w:szCs w:val="21"/>
        </w:rPr>
        <w:t>以合法自有资金购买理财产品，不存在使用贷款、发行债券等筹集的非自有资金投资资产管理产品的情形，投资理财产品使用的资金来源合法合规，并且系为合法之目的投资本理财产品，而非为洗钱等违法犯罪之目的，理财产品投资者应配合光大理财及销售服务机构开展投资者身份识别及反洗钱、反恐怖融资及非居民金融账户涉税信息尽职调查，及时、真实、准确、完整提供身份信息及资金来源等信息。</w:t>
      </w:r>
    </w:p>
    <w:p>
      <w:pPr>
        <w:tabs>
          <w:tab w:val="left" w:pos="709"/>
        </w:tabs>
        <w:spacing w:line="336" w:lineRule="auto"/>
        <w:ind w:firstLine="420"/>
        <w:rPr>
          <w:rFonts w:ascii="宋体" w:hAnsi="宋体" w:cs="宋体"/>
          <w:b/>
          <w:bCs/>
          <w:szCs w:val="21"/>
          <w:u w:val="single"/>
        </w:rPr>
      </w:pPr>
      <w:r>
        <w:rPr>
          <w:rFonts w:ascii="宋体" w:hAnsi="宋体" w:cs="宋体"/>
          <w:szCs w:val="21"/>
        </w:rPr>
        <w:t>4.所提供的所有资料真实、完整、合法、有效，如有变更，投资者应及时到</w:t>
      </w:r>
      <w:r>
        <w:rPr>
          <w:rFonts w:hint="eastAsia" w:ascii="宋体" w:hAnsi="宋体" w:cs="宋体"/>
          <w:szCs w:val="21"/>
        </w:rPr>
        <w:t>销售服务机构办理变更手续。</w:t>
      </w:r>
      <w:r>
        <w:rPr>
          <w:rFonts w:hint="eastAsia" w:ascii="宋体" w:hAnsi="宋体" w:cs="宋体"/>
          <w:b/>
          <w:bCs/>
          <w:szCs w:val="21"/>
          <w:u w:val="single"/>
        </w:rPr>
        <w:t>若投资者未及时办理相关变更手续，由此导致的一切后果由投资者自行承担，光大理财对此不承担任何责任。</w:t>
      </w:r>
    </w:p>
    <w:p>
      <w:pPr>
        <w:tabs>
          <w:tab w:val="left" w:pos="709"/>
        </w:tabs>
        <w:spacing w:line="336" w:lineRule="auto"/>
        <w:ind w:firstLine="420"/>
        <w:rPr>
          <w:rFonts w:ascii="宋体" w:hAnsi="宋体" w:cs="宋体"/>
          <w:szCs w:val="21"/>
        </w:rPr>
      </w:pPr>
      <w:r>
        <w:rPr>
          <w:rFonts w:ascii="宋体" w:hAnsi="宋体" w:cs="宋体"/>
          <w:szCs w:val="21"/>
        </w:rPr>
        <w:t>5.</w:t>
      </w:r>
      <w:r>
        <w:rPr>
          <w:rFonts w:hint="eastAsia" w:ascii="宋体" w:hAnsi="宋体" w:cs="宋体"/>
          <w:szCs w:val="21"/>
        </w:rPr>
        <w:t>不从事任何有损本理财产品及本理财产品其他理财产品销售文件当事人合法权益的活动。</w:t>
      </w:r>
    </w:p>
    <w:p>
      <w:pPr>
        <w:tabs>
          <w:tab w:val="left" w:pos="709"/>
        </w:tabs>
        <w:spacing w:line="336" w:lineRule="auto"/>
        <w:ind w:firstLine="420"/>
        <w:rPr>
          <w:rFonts w:ascii="宋体" w:hAnsi="宋体" w:cs="宋体"/>
          <w:szCs w:val="21"/>
        </w:rPr>
      </w:pPr>
      <w:r>
        <w:rPr>
          <w:rFonts w:ascii="宋体" w:hAnsi="宋体" w:cs="宋体"/>
          <w:szCs w:val="21"/>
        </w:rPr>
        <w:t>6.</w:t>
      </w:r>
      <w:r>
        <w:rPr>
          <w:rFonts w:hint="eastAsia" w:ascii="宋体" w:hAnsi="宋体" w:cs="宋体"/>
          <w:szCs w:val="21"/>
        </w:rPr>
        <w:t>法律法规以及理财产品销售文件所规定的其他义务。</w:t>
      </w:r>
    </w:p>
    <w:p>
      <w:pPr>
        <w:spacing w:line="336" w:lineRule="auto"/>
        <w:ind w:firstLine="422" w:firstLineChars="200"/>
        <w:rPr>
          <w:rFonts w:ascii="宋体" w:hAnsi="宋体" w:cs="宋体"/>
          <w:b/>
          <w:bCs/>
          <w:szCs w:val="21"/>
        </w:rPr>
      </w:pPr>
      <w:r>
        <w:rPr>
          <w:rFonts w:hint="eastAsia" w:ascii="宋体" w:hAnsi="宋体" w:cs="宋体"/>
          <w:b/>
          <w:bCs/>
          <w:szCs w:val="21"/>
        </w:rPr>
        <w:t>五、理财产品管理人的权利与义务</w:t>
      </w:r>
    </w:p>
    <w:p>
      <w:pPr>
        <w:tabs>
          <w:tab w:val="left" w:pos="709"/>
        </w:tabs>
        <w:spacing w:line="336" w:lineRule="auto"/>
        <w:ind w:firstLine="420"/>
        <w:rPr>
          <w:rFonts w:ascii="宋体" w:hAnsi="宋体" w:cs="宋体"/>
          <w:szCs w:val="21"/>
        </w:rPr>
      </w:pPr>
      <w:r>
        <w:rPr>
          <w:rFonts w:hint="eastAsia" w:ascii="宋体" w:hAnsi="宋体" w:cs="宋体"/>
          <w:szCs w:val="21"/>
        </w:rPr>
        <w:t>（一）理财产品管理人的权利</w:t>
      </w:r>
    </w:p>
    <w:p>
      <w:pPr>
        <w:tabs>
          <w:tab w:val="left" w:pos="709"/>
        </w:tabs>
        <w:spacing w:line="336" w:lineRule="auto"/>
        <w:ind w:firstLine="420"/>
        <w:rPr>
          <w:rFonts w:ascii="宋体" w:hAnsi="宋体" w:cs="宋体"/>
          <w:szCs w:val="21"/>
        </w:rPr>
      </w:pPr>
      <w:r>
        <w:rPr>
          <w:rFonts w:ascii="宋体" w:hAnsi="宋体" w:cs="宋体"/>
          <w:szCs w:val="21"/>
        </w:rPr>
        <w:t>1.</w:t>
      </w:r>
      <w:r>
        <w:rPr>
          <w:rFonts w:hint="eastAsia" w:ascii="宋体" w:hAnsi="宋体" w:cs="宋体"/>
          <w:szCs w:val="21"/>
        </w:rPr>
        <w:t>按照法律法规及理财产品销售文件约定，对理财产品资金进行投资运作。</w:t>
      </w:r>
    </w:p>
    <w:p>
      <w:pPr>
        <w:tabs>
          <w:tab w:val="left" w:pos="709"/>
        </w:tabs>
        <w:spacing w:line="336" w:lineRule="auto"/>
        <w:ind w:firstLine="420"/>
        <w:rPr>
          <w:rFonts w:ascii="宋体" w:hAnsi="宋体" w:cs="宋体"/>
          <w:szCs w:val="21"/>
        </w:rPr>
      </w:pPr>
      <w:r>
        <w:rPr>
          <w:rFonts w:ascii="宋体" w:hAnsi="宋体" w:cs="宋体"/>
          <w:szCs w:val="21"/>
        </w:rPr>
        <w:t>2.</w:t>
      </w:r>
      <w:r>
        <w:rPr>
          <w:rFonts w:hint="eastAsia" w:ascii="宋体" w:hAnsi="宋体" w:cs="宋体"/>
          <w:szCs w:val="21"/>
        </w:rPr>
        <w:t>向投资者收取理财产品的相关费用，具体收费项目、条件、标准和方式在《理财产品说明书》中载明。</w:t>
      </w:r>
    </w:p>
    <w:p>
      <w:pPr>
        <w:tabs>
          <w:tab w:val="left" w:pos="709"/>
        </w:tabs>
        <w:spacing w:line="336" w:lineRule="auto"/>
        <w:ind w:firstLine="420"/>
        <w:rPr>
          <w:rFonts w:ascii="宋体" w:hAnsi="宋体" w:cs="宋体"/>
          <w:szCs w:val="21"/>
        </w:rPr>
      </w:pPr>
      <w:r>
        <w:rPr>
          <w:rFonts w:ascii="宋体" w:hAnsi="宋体" w:cs="宋体"/>
          <w:szCs w:val="21"/>
        </w:rPr>
        <w:t>3.</w:t>
      </w:r>
      <w:r>
        <w:rPr>
          <w:rFonts w:hint="eastAsia" w:ascii="宋体" w:hAnsi="宋体" w:cs="宋体"/>
          <w:szCs w:val="21"/>
        </w:rPr>
        <w:t>按照法律法规，代表理财产品对被投资企业行使股东权利，代表理财产品行使因投资于其他证券所产生的权利。</w:t>
      </w:r>
    </w:p>
    <w:p>
      <w:pPr>
        <w:tabs>
          <w:tab w:val="left" w:pos="709"/>
        </w:tabs>
        <w:spacing w:line="336" w:lineRule="auto"/>
        <w:ind w:firstLine="420"/>
        <w:rPr>
          <w:rFonts w:ascii="宋体" w:hAnsi="宋体" w:cs="宋体"/>
          <w:szCs w:val="21"/>
        </w:rPr>
      </w:pPr>
      <w:r>
        <w:rPr>
          <w:rFonts w:ascii="宋体" w:hAnsi="宋体" w:cs="宋体"/>
          <w:szCs w:val="21"/>
        </w:rPr>
        <w:t>4.</w:t>
      </w:r>
      <w:r>
        <w:rPr>
          <w:rFonts w:hint="eastAsia" w:ascii="宋体" w:hAnsi="宋体" w:cs="宋体"/>
          <w:szCs w:val="21"/>
        </w:rPr>
        <w:t>选择、更换律师、审计师、证券经纪商或其他为理财产品提供服务的外部机构并确定有关费率。</w:t>
      </w:r>
    </w:p>
    <w:p>
      <w:pPr>
        <w:tabs>
          <w:tab w:val="left" w:pos="709"/>
        </w:tabs>
        <w:spacing w:line="336" w:lineRule="auto"/>
        <w:ind w:firstLine="420"/>
        <w:rPr>
          <w:rFonts w:ascii="宋体" w:hAnsi="宋体" w:cs="宋体"/>
          <w:szCs w:val="21"/>
        </w:rPr>
      </w:pPr>
      <w:r>
        <w:rPr>
          <w:rFonts w:ascii="宋体" w:hAnsi="宋体" w:cs="宋体"/>
          <w:szCs w:val="21"/>
        </w:rPr>
        <w:t>5.根据法律法规和理财产品</w:t>
      </w:r>
      <w:r>
        <w:rPr>
          <w:rFonts w:hint="eastAsia" w:ascii="宋体" w:hAnsi="宋体" w:cs="宋体"/>
          <w:szCs w:val="21"/>
        </w:rPr>
        <w:t>销售文件</w:t>
      </w:r>
      <w:r>
        <w:rPr>
          <w:rFonts w:ascii="宋体" w:hAnsi="宋体" w:cs="宋体"/>
          <w:szCs w:val="21"/>
        </w:rPr>
        <w:t>的约定，制订、修改并公布有关理财募集、认购、申购、赎回、</w:t>
      </w:r>
      <w:r>
        <w:rPr>
          <w:rFonts w:hint="eastAsia" w:ascii="宋体" w:hAnsi="宋体" w:cs="宋体"/>
          <w:szCs w:val="21"/>
        </w:rPr>
        <w:t>非交易过户、冻结、收益分配等方面的业务规则。</w:t>
      </w:r>
    </w:p>
    <w:p>
      <w:pPr>
        <w:tabs>
          <w:tab w:val="left" w:pos="709"/>
        </w:tabs>
        <w:spacing w:line="336" w:lineRule="auto"/>
        <w:ind w:firstLine="420"/>
        <w:rPr>
          <w:rFonts w:ascii="宋体" w:hAnsi="宋体" w:cs="宋体"/>
          <w:szCs w:val="21"/>
        </w:rPr>
      </w:pPr>
      <w:r>
        <w:rPr>
          <w:rFonts w:ascii="宋体" w:hAnsi="宋体" w:cs="宋体"/>
          <w:szCs w:val="21"/>
        </w:rPr>
        <w:t>6.</w:t>
      </w:r>
      <w:r>
        <w:rPr>
          <w:rFonts w:hint="eastAsia" w:ascii="宋体" w:hAnsi="宋体" w:cs="宋体"/>
          <w:szCs w:val="21"/>
        </w:rPr>
        <w:t>作为理财产品管理人，全权负责理财产品资金的运用和理财产品资产的管理，有权参加与理财产品所投资资产相关的所有会议，并对相关事项进行表决；有权代表理财产品投资者利益，按照法律法规和</w:t>
      </w:r>
      <w:r>
        <w:rPr>
          <w:rFonts w:hint="eastAsia" w:ascii="宋体" w:hAnsi="宋体" w:cs="宋体"/>
          <w:szCs w:val="21"/>
          <w:lang w:eastAsia="zh-CN"/>
        </w:rPr>
        <w:t>监管机构</w:t>
      </w:r>
      <w:r>
        <w:rPr>
          <w:rFonts w:hint="eastAsia" w:ascii="宋体" w:hAnsi="宋体" w:cs="宋体"/>
          <w:szCs w:val="21"/>
        </w:rPr>
        <w:t>相关规定对理财产品投资产生的风险资产进行多种方式的处置，包括但不限于转让、重组、债转股、资产证券化、委外催收、抵债资产收取与处置、破产重整。</w:t>
      </w:r>
    </w:p>
    <w:p>
      <w:pPr>
        <w:tabs>
          <w:tab w:val="left" w:pos="709"/>
        </w:tabs>
        <w:spacing w:line="336" w:lineRule="auto"/>
        <w:ind w:firstLine="420"/>
        <w:rPr>
          <w:rFonts w:ascii="宋体" w:hAnsi="宋体" w:cs="宋体"/>
          <w:szCs w:val="21"/>
        </w:rPr>
      </w:pPr>
      <w:r>
        <w:rPr>
          <w:rFonts w:ascii="宋体" w:hAnsi="宋体" w:cs="宋体"/>
          <w:szCs w:val="21"/>
        </w:rPr>
        <w:t>7.</w:t>
      </w:r>
      <w:r>
        <w:rPr>
          <w:rFonts w:hint="eastAsia" w:ascii="宋体" w:hAnsi="宋体" w:cs="宋体"/>
          <w:szCs w:val="21"/>
        </w:rPr>
        <w:t>以光大理财的名义，代表理财产品投资者利益行使诉讼权利或者实施其他法律行为。</w:t>
      </w:r>
    </w:p>
    <w:p>
      <w:pPr>
        <w:tabs>
          <w:tab w:val="left" w:pos="709"/>
        </w:tabs>
        <w:spacing w:line="336" w:lineRule="auto"/>
        <w:ind w:firstLine="420"/>
        <w:rPr>
          <w:rFonts w:ascii="宋体" w:hAnsi="宋体" w:cs="宋体"/>
          <w:szCs w:val="21"/>
        </w:rPr>
      </w:pPr>
      <w:r>
        <w:rPr>
          <w:rFonts w:ascii="宋体" w:hAnsi="宋体" w:cs="宋体"/>
          <w:szCs w:val="21"/>
        </w:rPr>
        <w:t>8.法律法规、理财产品</w:t>
      </w:r>
      <w:r>
        <w:rPr>
          <w:rFonts w:hint="eastAsia" w:ascii="宋体" w:hAnsi="宋体" w:cs="宋体"/>
          <w:szCs w:val="21"/>
        </w:rPr>
        <w:t>销售文件</w:t>
      </w:r>
      <w:r>
        <w:rPr>
          <w:rFonts w:ascii="宋体" w:hAnsi="宋体" w:cs="宋体"/>
          <w:szCs w:val="21"/>
        </w:rPr>
        <w:t>以及依据理财产品</w:t>
      </w:r>
      <w:r>
        <w:rPr>
          <w:rFonts w:hint="eastAsia" w:ascii="宋体" w:hAnsi="宋体" w:cs="宋体"/>
          <w:szCs w:val="21"/>
        </w:rPr>
        <w:t>销售文件</w:t>
      </w:r>
      <w:r>
        <w:rPr>
          <w:rFonts w:ascii="宋体" w:hAnsi="宋体" w:cs="宋体"/>
          <w:szCs w:val="21"/>
        </w:rPr>
        <w:t>制订的</w:t>
      </w:r>
      <w:r>
        <w:rPr>
          <w:rFonts w:hint="eastAsia" w:ascii="宋体" w:hAnsi="宋体" w:cs="宋体"/>
          <w:szCs w:val="21"/>
        </w:rPr>
        <w:t>其他</w:t>
      </w:r>
      <w:r>
        <w:rPr>
          <w:rFonts w:ascii="宋体" w:hAnsi="宋体" w:cs="宋体"/>
          <w:szCs w:val="21"/>
        </w:rPr>
        <w:t>法律文件所规定的</w:t>
      </w:r>
      <w:r>
        <w:rPr>
          <w:rFonts w:hint="eastAsia" w:ascii="宋体" w:hAnsi="宋体" w:cs="宋体"/>
          <w:szCs w:val="21"/>
        </w:rPr>
        <w:t>其他</w:t>
      </w:r>
      <w:r>
        <w:rPr>
          <w:rFonts w:ascii="宋体" w:hAnsi="宋体" w:cs="宋体"/>
          <w:szCs w:val="21"/>
        </w:rPr>
        <w:t>权利。</w:t>
      </w:r>
    </w:p>
    <w:p>
      <w:pPr>
        <w:tabs>
          <w:tab w:val="left" w:pos="709"/>
        </w:tabs>
        <w:spacing w:line="336" w:lineRule="auto"/>
        <w:ind w:firstLine="420"/>
        <w:rPr>
          <w:rFonts w:ascii="宋体" w:hAnsi="宋体" w:cs="宋体"/>
          <w:szCs w:val="21"/>
        </w:rPr>
      </w:pPr>
      <w:r>
        <w:rPr>
          <w:rFonts w:hint="eastAsia" w:ascii="宋体" w:hAnsi="宋体" w:cs="宋体"/>
          <w:szCs w:val="21"/>
        </w:rPr>
        <w:t>（二）理财产品管理人的义务</w:t>
      </w:r>
    </w:p>
    <w:p>
      <w:pPr>
        <w:tabs>
          <w:tab w:val="left" w:pos="709"/>
        </w:tabs>
        <w:spacing w:line="336" w:lineRule="auto"/>
        <w:ind w:firstLine="420"/>
        <w:rPr>
          <w:rFonts w:ascii="宋体" w:hAnsi="宋体" w:cs="宋体"/>
          <w:szCs w:val="21"/>
        </w:rPr>
      </w:pPr>
      <w:r>
        <w:rPr>
          <w:rFonts w:ascii="宋体" w:hAnsi="宋体" w:cs="宋体"/>
          <w:szCs w:val="21"/>
        </w:rPr>
        <w:t>1.</w:t>
      </w:r>
      <w:r>
        <w:rPr>
          <w:rFonts w:hint="eastAsia" w:ascii="宋体" w:hAnsi="宋体" w:cs="宋体"/>
          <w:szCs w:val="21"/>
        </w:rPr>
        <w:t>遵守法律法规和理财产品销售文件的约定。</w:t>
      </w:r>
    </w:p>
    <w:p>
      <w:pPr>
        <w:tabs>
          <w:tab w:val="left" w:pos="709"/>
        </w:tabs>
        <w:spacing w:line="336" w:lineRule="auto"/>
        <w:ind w:firstLine="420"/>
        <w:rPr>
          <w:rFonts w:ascii="宋体" w:hAnsi="宋体" w:cs="宋体"/>
          <w:szCs w:val="21"/>
        </w:rPr>
      </w:pPr>
      <w:r>
        <w:rPr>
          <w:rFonts w:ascii="宋体" w:hAnsi="宋体" w:cs="宋体"/>
          <w:szCs w:val="21"/>
        </w:rPr>
        <w:t>2.</w:t>
      </w:r>
      <w:r>
        <w:rPr>
          <w:rFonts w:hint="eastAsia" w:ascii="宋体" w:hAnsi="宋体" w:cs="宋体"/>
          <w:szCs w:val="21"/>
        </w:rPr>
        <w:t>按照理财产品销售文件的约定披露产品相关信息。</w:t>
      </w:r>
    </w:p>
    <w:p>
      <w:pPr>
        <w:tabs>
          <w:tab w:val="left" w:pos="709"/>
        </w:tabs>
        <w:spacing w:line="336" w:lineRule="auto"/>
        <w:ind w:firstLine="420"/>
        <w:rPr>
          <w:rFonts w:ascii="宋体" w:hAnsi="宋体" w:cs="宋体"/>
          <w:szCs w:val="21"/>
        </w:rPr>
      </w:pPr>
      <w:bookmarkStart w:id="19" w:name="_Hlk75180854"/>
      <w:r>
        <w:rPr>
          <w:rFonts w:ascii="宋体" w:hAnsi="宋体" w:cs="宋体"/>
          <w:szCs w:val="21"/>
        </w:rPr>
        <w:t>3.</w:t>
      </w:r>
      <w:r>
        <w:rPr>
          <w:rFonts w:hint="eastAsia" w:ascii="宋体" w:hAnsi="宋体" w:cs="宋体"/>
          <w:szCs w:val="21"/>
        </w:rPr>
        <w:t>运用受托资金进行投资，应当遵守审慎经营规则，制定科学合理的投资策略和风险管理制度，有效防范和控制风险。</w:t>
      </w:r>
      <w:bookmarkEnd w:id="19"/>
    </w:p>
    <w:p>
      <w:pPr>
        <w:tabs>
          <w:tab w:val="left" w:pos="709"/>
        </w:tabs>
        <w:spacing w:line="336" w:lineRule="auto"/>
        <w:ind w:firstLine="420"/>
        <w:rPr>
          <w:rFonts w:ascii="宋体" w:hAnsi="宋体" w:cs="宋体"/>
          <w:szCs w:val="21"/>
        </w:rPr>
      </w:pPr>
      <w:r>
        <w:rPr>
          <w:rFonts w:ascii="宋体" w:hAnsi="宋体" w:cs="宋体"/>
          <w:szCs w:val="21"/>
        </w:rPr>
        <w:t>4.依照法律、行政法规、规章规定和理财产品</w:t>
      </w:r>
      <w:r>
        <w:rPr>
          <w:rFonts w:hint="eastAsia" w:ascii="宋体" w:hAnsi="宋体" w:cs="宋体"/>
          <w:szCs w:val="21"/>
        </w:rPr>
        <w:t>销售文件</w:t>
      </w:r>
      <w:r>
        <w:rPr>
          <w:rFonts w:ascii="宋体" w:hAnsi="宋体" w:cs="宋体"/>
          <w:szCs w:val="21"/>
        </w:rPr>
        <w:t>约定，办理理财产品的认（申）购、赎回及暂停或者开放认（申）购、赎回等业务。</w:t>
      </w:r>
    </w:p>
    <w:p>
      <w:pPr>
        <w:tabs>
          <w:tab w:val="left" w:pos="709"/>
        </w:tabs>
        <w:spacing w:line="336" w:lineRule="auto"/>
        <w:ind w:firstLine="420"/>
        <w:rPr>
          <w:rFonts w:ascii="宋体" w:hAnsi="宋体" w:cs="宋体"/>
          <w:szCs w:val="21"/>
        </w:rPr>
      </w:pPr>
      <w:r>
        <w:rPr>
          <w:rFonts w:ascii="宋体" w:hAnsi="宋体" w:cs="宋体"/>
          <w:szCs w:val="21"/>
        </w:rPr>
        <w:t>5.依据理财产品</w:t>
      </w:r>
      <w:r>
        <w:rPr>
          <w:rFonts w:hint="eastAsia" w:ascii="宋体" w:hAnsi="宋体" w:cs="宋体"/>
          <w:szCs w:val="21"/>
        </w:rPr>
        <w:t>销售文件</w:t>
      </w:r>
      <w:r>
        <w:rPr>
          <w:rFonts w:ascii="宋体" w:hAnsi="宋体" w:cs="宋体"/>
          <w:szCs w:val="21"/>
        </w:rPr>
        <w:t>规定制订理财收益分配方案并向本理财产品的理财份额持有人分配</w:t>
      </w:r>
      <w:r>
        <w:rPr>
          <w:rFonts w:hint="eastAsia" w:ascii="宋体" w:hAnsi="宋体" w:cs="宋体"/>
          <w:szCs w:val="21"/>
        </w:rPr>
        <w:t>理财收益。</w:t>
      </w:r>
    </w:p>
    <w:p>
      <w:pPr>
        <w:spacing w:line="336" w:lineRule="auto"/>
        <w:ind w:firstLine="422" w:firstLineChars="200"/>
        <w:rPr>
          <w:rFonts w:ascii="宋体" w:hAnsi="宋体" w:cs="宋体"/>
          <w:b/>
          <w:bCs/>
          <w:szCs w:val="21"/>
        </w:rPr>
      </w:pPr>
      <w:r>
        <w:rPr>
          <w:rFonts w:hint="eastAsia" w:ascii="宋体" w:hAnsi="宋体" w:cs="宋体"/>
          <w:b/>
          <w:bCs/>
          <w:szCs w:val="21"/>
        </w:rPr>
        <w:t>六、免责</w:t>
      </w:r>
    </w:p>
    <w:p>
      <w:pPr>
        <w:tabs>
          <w:tab w:val="left" w:pos="720"/>
        </w:tabs>
        <w:spacing w:line="336" w:lineRule="auto"/>
        <w:ind w:firstLine="421"/>
        <w:rPr>
          <w:rFonts w:ascii="宋体" w:hAnsi="宋体" w:cs="宋体"/>
          <w:b/>
          <w:szCs w:val="21"/>
          <w:u w:val="single"/>
        </w:rPr>
      </w:pPr>
      <w:r>
        <w:rPr>
          <w:rFonts w:hint="eastAsia" w:ascii="宋体" w:hAnsi="宋体" w:cs="宋体"/>
          <w:b/>
          <w:szCs w:val="21"/>
          <w:u w:val="single"/>
        </w:rPr>
        <w:t>1.由于地震、火灾、战争、疫情、严重传染病等不可抗力导致的交易中断、延误等风险及损失，光大理财不承担责任，但应在条件允许的情况下通知投资者，并采取一切必要的补救措施以减小不可抗力造成的损失。</w:t>
      </w:r>
    </w:p>
    <w:p>
      <w:pPr>
        <w:tabs>
          <w:tab w:val="left" w:pos="720"/>
        </w:tabs>
        <w:spacing w:line="336" w:lineRule="auto"/>
        <w:ind w:firstLine="421"/>
        <w:rPr>
          <w:rFonts w:ascii="宋体" w:hAnsi="宋体" w:cs="宋体"/>
          <w:b/>
          <w:szCs w:val="21"/>
          <w:u w:val="single"/>
        </w:rPr>
      </w:pPr>
      <w:r>
        <w:rPr>
          <w:rFonts w:hint="eastAsia" w:ascii="宋体" w:hAnsi="宋体" w:cs="宋体"/>
          <w:b/>
          <w:szCs w:val="21"/>
          <w:u w:val="single"/>
        </w:rPr>
        <w:t>2.由于国家的有关法律、法规、规章、政策的改变、紧急措施的出台而导致的风险，光大理财不承担责任。</w:t>
      </w:r>
    </w:p>
    <w:p>
      <w:pPr>
        <w:tabs>
          <w:tab w:val="left" w:pos="720"/>
        </w:tabs>
        <w:spacing w:line="336" w:lineRule="auto"/>
        <w:ind w:firstLine="421"/>
        <w:rPr>
          <w:rFonts w:ascii="宋体" w:hAnsi="宋体" w:cs="宋体"/>
          <w:b/>
          <w:szCs w:val="21"/>
          <w:u w:val="single"/>
        </w:rPr>
      </w:pPr>
      <w:r>
        <w:rPr>
          <w:rFonts w:hint="eastAsia" w:ascii="宋体" w:hAnsi="宋体" w:cs="宋体"/>
          <w:b/>
          <w:szCs w:val="21"/>
          <w:u w:val="single"/>
        </w:rPr>
        <w:t>3.如由于投资者原因，理财产品销售文件约定的资金账户和理财本金及收益被有权机关要求冻结、扣划，则光大理财有权根据实际情况全额终止理财交易，并停止向投资者支付投资本金及收益。由于提前终止交易而产生的一切损失及费用将由投资者承担，光大理财有权将此损失及费用从投资者的资金账户或理财本金以及收益中扣除。</w:t>
      </w:r>
    </w:p>
    <w:p>
      <w:pPr>
        <w:tabs>
          <w:tab w:val="left" w:pos="720"/>
        </w:tabs>
        <w:spacing w:line="336" w:lineRule="auto"/>
        <w:ind w:firstLine="421"/>
        <w:rPr>
          <w:rFonts w:ascii="宋体" w:hAnsi="宋体" w:cs="宋体"/>
          <w:b/>
          <w:szCs w:val="21"/>
          <w:u w:val="single"/>
        </w:rPr>
      </w:pPr>
      <w:r>
        <w:rPr>
          <w:rFonts w:hint="eastAsia" w:ascii="宋体" w:hAnsi="宋体" w:cs="宋体"/>
          <w:b/>
          <w:szCs w:val="21"/>
          <w:u w:val="single"/>
        </w:rPr>
        <w:t>4.光大理财依照恪尽职守、诚实信用、谨慎勤勉的原则管理和运用理财产品财产，但不保证理财产品财产中的认（申）购资金本金不受损失，也不保证一定盈利及最低收益。本理财产品运作过程中，光大理财依据理财产品销售文件的约定管理和运用理财产品财产所产生的风险，由理财产品财产及投资者承担。投资者应充分知晓投资运营的相关风险，其风险应由投资者自担。</w:t>
      </w:r>
    </w:p>
    <w:p>
      <w:pPr>
        <w:tabs>
          <w:tab w:val="left" w:pos="720"/>
        </w:tabs>
        <w:spacing w:line="336" w:lineRule="auto"/>
        <w:ind w:firstLine="421"/>
        <w:rPr>
          <w:rFonts w:ascii="宋体" w:hAnsi="宋体" w:cs="宋体"/>
          <w:b/>
          <w:szCs w:val="21"/>
          <w:u w:val="single"/>
        </w:rPr>
      </w:pPr>
      <w:r>
        <w:rPr>
          <w:rFonts w:hint="eastAsia" w:ascii="宋体" w:hAnsi="宋体" w:cs="宋体"/>
          <w:b/>
          <w:szCs w:val="21"/>
          <w:u w:val="single"/>
        </w:rPr>
        <w:t>5.非因光大理财原因（包括但不限于理财产品投资者遗失理财产品销售文件、理财产品销售文件被盗用等原因）造成的损失，光大理财不承担责任。</w:t>
      </w:r>
    </w:p>
    <w:p>
      <w:pPr>
        <w:spacing w:line="336" w:lineRule="auto"/>
        <w:ind w:firstLine="422" w:firstLineChars="200"/>
        <w:rPr>
          <w:rFonts w:ascii="宋体" w:hAnsi="宋体" w:cs="宋体"/>
          <w:b/>
          <w:bCs/>
          <w:szCs w:val="21"/>
        </w:rPr>
      </w:pPr>
      <w:r>
        <w:rPr>
          <w:rFonts w:hint="eastAsia" w:ascii="宋体" w:hAnsi="宋体" w:cs="宋体"/>
          <w:b/>
          <w:bCs/>
          <w:szCs w:val="21"/>
        </w:rPr>
        <w:t>七、投诉处理</w:t>
      </w:r>
    </w:p>
    <w:p>
      <w:pPr>
        <w:tabs>
          <w:tab w:val="left" w:pos="720"/>
        </w:tabs>
        <w:spacing w:line="336" w:lineRule="auto"/>
        <w:ind w:firstLine="420"/>
        <w:rPr>
          <w:rFonts w:ascii="宋体" w:hAnsi="宋体" w:cs="宋体"/>
          <w:szCs w:val="21"/>
        </w:rPr>
      </w:pPr>
      <w:r>
        <w:rPr>
          <w:rFonts w:hint="eastAsia" w:ascii="宋体" w:hAnsi="宋体" w:cs="宋体"/>
          <w:b/>
          <w:bCs/>
          <w:szCs w:val="21"/>
        </w:rPr>
        <w:t>投资者可通过销售服务机构的营业网点、客服电话、网络在线客服等（具体方式以投资者与销售服务机构签订的销售服务协议为准），以及光大理财官方网站、客服电话等渠道反映问题。</w:t>
      </w:r>
    </w:p>
    <w:p>
      <w:pPr>
        <w:spacing w:line="336" w:lineRule="auto"/>
        <w:ind w:firstLine="422" w:firstLineChars="200"/>
        <w:rPr>
          <w:rFonts w:ascii="宋体" w:hAnsi="宋体" w:cs="宋体"/>
          <w:b/>
          <w:bCs/>
          <w:szCs w:val="21"/>
        </w:rPr>
      </w:pPr>
      <w:r>
        <w:rPr>
          <w:rFonts w:hint="eastAsia" w:ascii="宋体" w:hAnsi="宋体" w:cs="宋体"/>
          <w:b/>
          <w:bCs/>
          <w:szCs w:val="21"/>
        </w:rPr>
        <w:t>八、协议的生效及终止</w:t>
      </w:r>
    </w:p>
    <w:p>
      <w:pPr>
        <w:tabs>
          <w:tab w:val="left" w:pos="720"/>
        </w:tabs>
        <w:spacing w:line="336" w:lineRule="auto"/>
        <w:ind w:firstLine="420"/>
        <w:rPr>
          <w:rFonts w:ascii="宋体" w:hAnsi="宋体" w:cs="宋体"/>
          <w:szCs w:val="21"/>
        </w:rPr>
      </w:pPr>
      <w:r>
        <w:rPr>
          <w:rFonts w:hint="eastAsia" w:ascii="宋体" w:hAnsi="宋体" w:cs="宋体"/>
          <w:szCs w:val="21"/>
        </w:rPr>
        <w:t>1.本协议自投资者成功缴纳全额购买资金并经光大理财系统确认购买份额后成立并生效。</w:t>
      </w:r>
    </w:p>
    <w:p>
      <w:pPr>
        <w:tabs>
          <w:tab w:val="left" w:pos="720"/>
        </w:tabs>
        <w:spacing w:line="336" w:lineRule="auto"/>
        <w:ind w:firstLine="420"/>
        <w:rPr>
          <w:rFonts w:ascii="宋体" w:hAnsi="宋体" w:cs="宋体"/>
          <w:szCs w:val="21"/>
        </w:rPr>
      </w:pPr>
      <w:r>
        <w:rPr>
          <w:rFonts w:hint="eastAsia" w:ascii="宋体" w:hAnsi="宋体" w:cs="宋体"/>
          <w:szCs w:val="21"/>
        </w:rPr>
        <w:t>2.除与投资者进行特别约定外，本</w:t>
      </w:r>
      <w:r>
        <w:rPr>
          <w:rFonts w:ascii="宋体" w:hAnsi="宋体" w:cs="宋体"/>
          <w:szCs w:val="21"/>
        </w:rPr>
        <w:t>理财产品</w:t>
      </w:r>
      <w:r>
        <w:rPr>
          <w:rFonts w:hint="eastAsia" w:ascii="宋体" w:hAnsi="宋体" w:cs="宋体"/>
          <w:szCs w:val="21"/>
        </w:rPr>
        <w:t>销售文件</w:t>
      </w:r>
      <w:r>
        <w:rPr>
          <w:rFonts w:ascii="宋体" w:hAnsi="宋体" w:cs="宋体"/>
          <w:szCs w:val="21"/>
        </w:rPr>
        <w:t>的生效或终止以光大理财发出的确认信息为准，光大理财将委托销售服务机构代为展示。</w:t>
      </w:r>
      <w:r>
        <w:rPr>
          <w:rFonts w:hint="eastAsia" w:ascii="宋体" w:hAnsi="宋体" w:cs="宋体"/>
          <w:szCs w:val="21"/>
        </w:rPr>
        <w:t>投资者在办理理财产品的购买、赎回等交易后，需通过销售服务机构营业网点或网上销售平台查询。</w:t>
      </w:r>
    </w:p>
    <w:p>
      <w:pPr>
        <w:tabs>
          <w:tab w:val="left" w:pos="720"/>
        </w:tabs>
        <w:spacing w:line="336" w:lineRule="auto"/>
        <w:ind w:firstLine="420"/>
        <w:rPr>
          <w:rStyle w:val="15"/>
          <w:rFonts w:ascii="宋体" w:hAnsi="宋体" w:cs="宋体"/>
        </w:rPr>
      </w:pPr>
      <w:r>
        <w:rPr>
          <w:rFonts w:hint="eastAsia" w:ascii="宋体" w:hAnsi="宋体" w:cs="宋体"/>
          <w:szCs w:val="21"/>
        </w:rPr>
        <w:t>3.投资者购买理财产品后，如变更该笔理财协议的具体内容（包括但不限于交易变更、金额变更、投资者信息变更等），则以双方最近一次交易达成的交易内容为准。</w:t>
      </w:r>
    </w:p>
    <w:p>
      <w:pPr>
        <w:spacing w:line="336" w:lineRule="auto"/>
        <w:ind w:firstLine="422" w:firstLineChars="200"/>
        <w:rPr>
          <w:rFonts w:ascii="宋体" w:hAnsi="宋体" w:cs="宋体"/>
          <w:b/>
          <w:bCs/>
          <w:szCs w:val="21"/>
        </w:rPr>
      </w:pPr>
      <w:r>
        <w:rPr>
          <w:rFonts w:hint="eastAsia" w:ascii="宋体" w:hAnsi="宋体" w:cs="宋体"/>
          <w:b/>
          <w:bCs/>
          <w:szCs w:val="21"/>
        </w:rPr>
        <w:t>九、投资者信息保护</w:t>
      </w:r>
    </w:p>
    <w:p>
      <w:pPr>
        <w:tabs>
          <w:tab w:val="left" w:pos="720"/>
        </w:tabs>
        <w:spacing w:line="336" w:lineRule="auto"/>
        <w:ind w:firstLine="420"/>
        <w:rPr>
          <w:rFonts w:ascii="宋体" w:hAnsi="宋体" w:cs="宋体"/>
          <w:b/>
          <w:bCs/>
          <w:szCs w:val="21"/>
        </w:rPr>
      </w:pPr>
      <w:r>
        <w:rPr>
          <w:rFonts w:hint="eastAsia" w:ascii="宋体" w:hAnsi="宋体" w:cs="宋体"/>
          <w:b/>
          <w:bCs/>
          <w:szCs w:val="21"/>
        </w:rPr>
        <w:t>产品管理人将按照《个人信息保护法》等法律法规、监管规定、自律组织要求和本协议的约定，严格履行投资者信息保密义务。投资者在此授权并同意，产品管理人将遵循合法、正当、必要和诚信的原则，在为投资者办理本协议项下事项所必需的情形下，采取收集、存储、使用、加工、传输、提供等方式处理投资者信息，同时可向托管机构、监管机构、自律组织、理财登记备案机构、投资合作机构、客户服务热线机构、理财快速赎回服务提供方等提供、留存投资者信息，并要求上述信息接收方按照法律法规规定履行投资者信息保密义务。前述投资者信息包括个人基本信息、联络信息、身份信息、财产信息、账户及相关信息、交易信息、投资经验、风险偏好与投资目标、在与投资者建立业务关系过程中及服务过程中产生、获取、保存的其他与业务相关的个人信息及法律法规规定的其他必要信息。除法律法规及监管规范另有规定或者投资者同意披露外，产品管理人不得向任何组织、个人提供或泄漏与投资者有关的资料和信息。因理财产品管理运作的需要，产品管理人可购买、使用、租用专业信息服务供应商提供的信息系统、数据服务（如数据传输系统、客服系统、登记系统、CA 认证服务、可信时间戳服务等），信息服务供应商信息以光大理财门户网站披露为准。在使用上述系统的过程中，理财产品及投资者部分信息（个人基本信息、联络信息、身份信息、财产信息、账户及相关信息、交易信息、投资经验、风险偏好与投资目标、在与投资者建立业务关系过程中及服务过程中产生、获取、保存的其他与业务相关的个人信息及法律法规规定的其他必要信息）可能会被暂时采集并存储在信息服务供应商的服务器上、或由其工作人员进行维护。产品管理人将要求信息服务供应商履行保密义务。投资者购买本理财产品即视为知悉并同意上述情况。</w:t>
      </w:r>
    </w:p>
    <w:p>
      <w:pPr>
        <w:spacing w:line="336" w:lineRule="auto"/>
        <w:ind w:firstLine="422" w:firstLineChars="200"/>
        <w:rPr>
          <w:rFonts w:ascii="宋体" w:hAnsi="宋体" w:cs="宋体"/>
          <w:bCs/>
          <w:szCs w:val="21"/>
        </w:rPr>
      </w:pPr>
      <w:r>
        <w:rPr>
          <w:rFonts w:hint="eastAsia" w:ascii="宋体" w:hAnsi="宋体" w:cs="宋体"/>
          <w:b/>
          <w:bCs/>
          <w:szCs w:val="21"/>
        </w:rPr>
        <w:t>十、除与投资者进行特别约定外，本理财产品销售文件</w:t>
      </w:r>
      <w:r>
        <w:rPr>
          <w:rFonts w:hint="eastAsia" w:ascii="宋体" w:hAnsi="宋体" w:cs="宋体"/>
          <w:b/>
          <w:szCs w:val="21"/>
        </w:rPr>
        <w:t>的订立、生效、履行、解释、修改和终止等事项均适用中华人民共和国（为各项理财产品销售文件之目的，不包括香港特别行政区、澳门特别行政区和台湾地区）法律。因理财产品销售文件引起的或与理财产品销售文件有关的任何争议，应当首先通过双方之间的友好协商解决；协商不成的，双方均有权提交理财产品管理人所在地有管辖权的人民法院诉讼解决。</w:t>
      </w:r>
    </w:p>
    <w:p>
      <w:pPr>
        <w:spacing w:line="336" w:lineRule="auto"/>
        <w:ind w:firstLine="422" w:firstLineChars="200"/>
        <w:rPr>
          <w:rFonts w:ascii="宋体" w:hAnsi="宋体" w:cs="宋体"/>
          <w:b/>
          <w:bCs/>
          <w:szCs w:val="21"/>
        </w:rPr>
      </w:pPr>
      <w:r>
        <w:rPr>
          <w:rFonts w:hint="eastAsia" w:ascii="宋体" w:hAnsi="宋体" w:cs="宋体"/>
          <w:b/>
          <w:bCs/>
          <w:szCs w:val="21"/>
        </w:rPr>
        <w:t>十一、本协议一式二份，投资者和光大理财分别保留一份，每份具有同等的法律效力。</w:t>
      </w:r>
    </w:p>
    <w:p>
      <w:pPr>
        <w:spacing w:line="336" w:lineRule="auto"/>
        <w:ind w:firstLine="422" w:firstLineChars="200"/>
        <w:rPr>
          <w:rFonts w:ascii="宋体" w:hAnsi="宋体" w:cs="宋体"/>
          <w:b/>
          <w:bCs/>
          <w:szCs w:val="21"/>
        </w:rPr>
      </w:pPr>
      <w:r>
        <w:rPr>
          <w:rFonts w:hint="eastAsia" w:ascii="宋体" w:hAnsi="宋体" w:cs="宋体"/>
          <w:b/>
          <w:bCs/>
          <w:szCs w:val="21"/>
        </w:rPr>
        <w:t>十二、本协议未尽事宜，以理财产品说明书、风险揭示书、投资者权益须知、销售（代理销售）协议书等销售文件的内容为准。</w:t>
      </w:r>
    </w:p>
    <w:p>
      <w:pPr>
        <w:spacing w:line="360" w:lineRule="auto"/>
        <w:jc w:val="left"/>
        <w:rPr>
          <w:rFonts w:ascii="宋体" w:hAnsi="宋体" w:cs="宋体"/>
          <w:b/>
          <w:bCs/>
          <w:color w:val="000000"/>
          <w:szCs w:val="21"/>
        </w:rPr>
      </w:pPr>
    </w:p>
    <w:p>
      <w:pPr>
        <w:spacing w:line="400" w:lineRule="exact"/>
        <w:ind w:firstLine="1054" w:firstLineChars="500"/>
        <w:rPr>
          <w:rFonts w:ascii="宋体" w:hAnsi="宋体" w:cs="仿宋"/>
          <w:b/>
          <w:bCs/>
          <w:color w:val="000000"/>
          <w:szCs w:val="21"/>
        </w:rPr>
      </w:pPr>
    </w:p>
    <w:sectPr>
      <w:headerReference r:id="rId3" w:type="default"/>
      <w:footerReference r:id="rId4" w:type="default"/>
      <w:pgSz w:w="11906" w:h="16838"/>
      <w:pgMar w:top="1440" w:right="1558"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宋体 (标题)">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ascii="宋体" w:hAnsi="宋体" w:cs="宋体"/>
        <w:b/>
        <w:bCs/>
        <w:sz w:val="30"/>
        <w:szCs w:val="30"/>
      </w:rPr>
    </w:pPr>
    <w:r>
      <w:rPr>
        <w:rFonts w:hint="eastAsia" w:ascii="黑体" w:hAnsi="黑体" w:eastAsia="黑体" w:cs="黑体"/>
        <w:b/>
        <w:bCs/>
        <w:sz w:val="30"/>
        <w:szCs w:val="30"/>
      </w:rPr>
      <w:t>光大理财</w:t>
    </w:r>
    <w:r>
      <w:rPr>
        <w:rFonts w:ascii="黑体" w:hAnsi="黑体" w:eastAsia="黑体" w:cs="黑体"/>
        <w:b/>
        <w:bCs/>
        <w:sz w:val="30"/>
        <w:szCs w:val="30"/>
      </w:rPr>
      <w:tab/>
    </w:r>
    <w:r>
      <w:rPr>
        <w:rFonts w:hint="eastAsia" w:ascii="黑体" w:hAnsi="黑体" w:eastAsia="黑体" w:cs="黑体"/>
        <w:b/>
        <w:bCs/>
        <w:sz w:val="30"/>
        <w:szCs w:val="30"/>
      </w:rPr>
      <w:t>理财非存款、产品有风险、投资须谨慎</w:t>
    </w:r>
  </w:p>
  <w:p>
    <w:pPr>
      <w:pStyle w:val="7"/>
    </w:pP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2FDEC"/>
    <w:multiLevelType w:val="singleLevel"/>
    <w:tmpl w:val="9912FDEC"/>
    <w:lvl w:ilvl="0" w:tentative="0">
      <w:start w:val="2"/>
      <w:numFmt w:val="decimal"/>
      <w:suff w:val="nothing"/>
      <w:lvlText w:val="（%1）"/>
      <w:lvlJc w:val="left"/>
    </w:lvl>
  </w:abstractNum>
  <w:abstractNum w:abstractNumId="1">
    <w:nsid w:val="0A6C09B7"/>
    <w:multiLevelType w:val="multilevel"/>
    <w:tmpl w:val="0A6C09B7"/>
    <w:lvl w:ilvl="0" w:tentative="0">
      <w:start w:val="1"/>
      <w:numFmt w:val="decimal"/>
      <w:lvlText w:val="%1"/>
      <w:lvlJc w:val="left"/>
      <w:pPr>
        <w:tabs>
          <w:tab w:val="left" w:pos="567"/>
        </w:tabs>
        <w:ind w:left="567" w:firstLine="0"/>
      </w:pPr>
      <w:rPr>
        <w:rFonts w:hint="eastAsia"/>
      </w:rPr>
    </w:lvl>
    <w:lvl w:ilvl="1" w:tentative="0">
      <w:start w:val="1"/>
      <w:numFmt w:val="decimal"/>
      <w:pStyle w:val="2"/>
      <w:lvlText w:val="%1.%2"/>
      <w:lvlJc w:val="left"/>
      <w:pPr>
        <w:tabs>
          <w:tab w:val="left" w:pos="540"/>
        </w:tabs>
        <w:ind w:left="540" w:firstLine="0"/>
      </w:pPr>
      <w:rPr>
        <w:rFonts w:hint="default" w:ascii="Times New Roman" w:hAnsi="Times New Roman" w:cs="Times New Roman"/>
        <w:sz w:val="32"/>
        <w:szCs w:val="32"/>
      </w:rPr>
    </w:lvl>
    <w:lvl w:ilvl="2" w:tentative="0">
      <w:start w:val="1"/>
      <w:numFmt w:val="decimal"/>
      <w:lvlText w:val="%1.%2.%3"/>
      <w:lvlJc w:val="left"/>
      <w:pPr>
        <w:tabs>
          <w:tab w:val="left" w:pos="567"/>
        </w:tabs>
        <w:ind w:left="567" w:firstLine="0"/>
      </w:pPr>
      <w:rPr>
        <w:rFonts w:hint="default" w:ascii="Times New Roman" w:hAnsi="Times New Roman" w:eastAsia="宋体" w:cs="Times New Roman"/>
        <w:sz w:val="32"/>
        <w:szCs w:val="32"/>
      </w:rPr>
    </w:lvl>
    <w:lvl w:ilvl="3" w:tentative="0">
      <w:start w:val="1"/>
      <w:numFmt w:val="decimal"/>
      <w:lvlText w:val="%1.%2.%3.%4"/>
      <w:lvlJc w:val="left"/>
      <w:pPr>
        <w:tabs>
          <w:tab w:val="left" w:pos="567"/>
        </w:tabs>
        <w:ind w:left="567" w:firstLine="0"/>
      </w:pPr>
      <w:rPr>
        <w:rFonts w:hint="default" w:ascii="Times New Roman" w:hAnsi="Times New Roman" w:eastAsia="宋体" w:cs="Times New Roman"/>
        <w:b/>
        <w:bCs/>
        <w:i w:val="0"/>
        <w:iCs w:val="0"/>
        <w:caps w:val="0"/>
        <w:smallCaps w:val="0"/>
        <w:strike w:val="0"/>
        <w:dstrike w:val="0"/>
        <w:color w:val="000000"/>
        <w:spacing w:val="0"/>
        <w:w w:val="100"/>
        <w:kern w:val="2"/>
        <w:position w:val="0"/>
        <w:sz w:val="28"/>
        <w:szCs w:val="28"/>
        <w:u w:val="none"/>
        <w:shd w:val="clear" w:color="auto" w:fill="auto"/>
      </w:rPr>
    </w:lvl>
    <w:lvl w:ilvl="4" w:tentative="0">
      <w:start w:val="1"/>
      <w:numFmt w:val="decimal"/>
      <w:lvlText w:val="%1.%2.%3.%4.%5"/>
      <w:lvlJc w:val="left"/>
      <w:pPr>
        <w:tabs>
          <w:tab w:val="left" w:pos="1908"/>
        </w:tabs>
        <w:ind w:left="1908" w:hanging="1008"/>
      </w:pPr>
      <w:rPr>
        <w:rFonts w:hint="eastAsia"/>
      </w:rPr>
    </w:lvl>
    <w:lvl w:ilvl="5" w:tentative="0">
      <w:start w:val="1"/>
      <w:numFmt w:val="decimal"/>
      <w:lvlText w:val="%1.%2.%3.%4.%5.%6"/>
      <w:lvlJc w:val="left"/>
      <w:pPr>
        <w:tabs>
          <w:tab w:val="left" w:pos="2052"/>
        </w:tabs>
        <w:ind w:left="2052" w:hanging="1152"/>
      </w:pPr>
      <w:rPr>
        <w:rFonts w:hint="eastAsia"/>
      </w:rPr>
    </w:lvl>
    <w:lvl w:ilvl="6" w:tentative="0">
      <w:start w:val="1"/>
      <w:numFmt w:val="decimal"/>
      <w:lvlText w:val="%1.%2.%3.%4.%5.%6.%7"/>
      <w:lvlJc w:val="left"/>
      <w:pPr>
        <w:tabs>
          <w:tab w:val="left" w:pos="2196"/>
        </w:tabs>
        <w:ind w:left="2196" w:hanging="1296"/>
      </w:pPr>
      <w:rPr>
        <w:rFonts w:hint="eastAsia"/>
      </w:rPr>
    </w:lvl>
    <w:lvl w:ilvl="7" w:tentative="0">
      <w:start w:val="1"/>
      <w:numFmt w:val="decimal"/>
      <w:lvlText w:val="%1.%2.%3.%4.%5.%6.%7.%8"/>
      <w:lvlJc w:val="left"/>
      <w:pPr>
        <w:tabs>
          <w:tab w:val="left" w:pos="2340"/>
        </w:tabs>
        <w:ind w:left="2340" w:hanging="1440"/>
      </w:pPr>
      <w:rPr>
        <w:rFonts w:hint="eastAsia"/>
      </w:rPr>
    </w:lvl>
    <w:lvl w:ilvl="8" w:tentative="0">
      <w:start w:val="1"/>
      <w:numFmt w:val="decimal"/>
      <w:lvlText w:val="%1.%2.%3.%4.%5.%6.%7.%8.%9"/>
      <w:lvlJc w:val="left"/>
      <w:pPr>
        <w:tabs>
          <w:tab w:val="left" w:pos="2484"/>
        </w:tabs>
        <w:ind w:left="2484" w:hanging="1584"/>
      </w:pPr>
      <w:rPr>
        <w:rFonts w:hint="eastAsia"/>
      </w:rPr>
    </w:lvl>
  </w:abstractNum>
  <w:abstractNum w:abstractNumId="2">
    <w:nsid w:val="21BB4138"/>
    <w:multiLevelType w:val="multilevel"/>
    <w:tmpl w:val="21BB41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yub">
    <w15:presenceInfo w15:providerId="None" w15:userId="liy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DdmZDM0OTk0ZDk5MWUxZWI5MTkyNTA4N2E2OTIifQ=="/>
    <w:docVar w:name="KSO_WPS_MARK_KEY" w:val="9be8fed9-f863-42aa-b2e0-537a9ba0feb9"/>
  </w:docVars>
  <w:rsids>
    <w:rsidRoot w:val="00172A27"/>
    <w:rsid w:val="00002CE9"/>
    <w:rsid w:val="00002FF2"/>
    <w:rsid w:val="00004A5F"/>
    <w:rsid w:val="00005153"/>
    <w:rsid w:val="000135D0"/>
    <w:rsid w:val="000141B0"/>
    <w:rsid w:val="000170AF"/>
    <w:rsid w:val="000206CD"/>
    <w:rsid w:val="0003032E"/>
    <w:rsid w:val="0003174D"/>
    <w:rsid w:val="00031F09"/>
    <w:rsid w:val="0003211F"/>
    <w:rsid w:val="00034FFD"/>
    <w:rsid w:val="00045C94"/>
    <w:rsid w:val="00050BAA"/>
    <w:rsid w:val="0005134F"/>
    <w:rsid w:val="000556FA"/>
    <w:rsid w:val="00056B33"/>
    <w:rsid w:val="000575EF"/>
    <w:rsid w:val="00061680"/>
    <w:rsid w:val="0006707B"/>
    <w:rsid w:val="000670FC"/>
    <w:rsid w:val="00074563"/>
    <w:rsid w:val="000749F5"/>
    <w:rsid w:val="00074B49"/>
    <w:rsid w:val="0008269D"/>
    <w:rsid w:val="000861C9"/>
    <w:rsid w:val="00090424"/>
    <w:rsid w:val="000933F2"/>
    <w:rsid w:val="00093AA1"/>
    <w:rsid w:val="00096DE9"/>
    <w:rsid w:val="00097550"/>
    <w:rsid w:val="000A083B"/>
    <w:rsid w:val="000A1087"/>
    <w:rsid w:val="000A6DAD"/>
    <w:rsid w:val="000B013C"/>
    <w:rsid w:val="000B093E"/>
    <w:rsid w:val="000B09EE"/>
    <w:rsid w:val="000B0AAF"/>
    <w:rsid w:val="000B1031"/>
    <w:rsid w:val="000B3E13"/>
    <w:rsid w:val="000B7C2C"/>
    <w:rsid w:val="000C123D"/>
    <w:rsid w:val="000C1EB7"/>
    <w:rsid w:val="000C49AB"/>
    <w:rsid w:val="000C55DB"/>
    <w:rsid w:val="000C614E"/>
    <w:rsid w:val="000D16EE"/>
    <w:rsid w:val="000E094F"/>
    <w:rsid w:val="000E10FB"/>
    <w:rsid w:val="000E153A"/>
    <w:rsid w:val="000E17EB"/>
    <w:rsid w:val="000E35F5"/>
    <w:rsid w:val="000F0A03"/>
    <w:rsid w:val="000F2592"/>
    <w:rsid w:val="00102A57"/>
    <w:rsid w:val="00104EBF"/>
    <w:rsid w:val="00105DEC"/>
    <w:rsid w:val="00120AE7"/>
    <w:rsid w:val="00120D39"/>
    <w:rsid w:val="00121781"/>
    <w:rsid w:val="00133FC8"/>
    <w:rsid w:val="0013727A"/>
    <w:rsid w:val="0014158F"/>
    <w:rsid w:val="001435DD"/>
    <w:rsid w:val="00143BCC"/>
    <w:rsid w:val="00145FB8"/>
    <w:rsid w:val="00146590"/>
    <w:rsid w:val="0015234B"/>
    <w:rsid w:val="00164733"/>
    <w:rsid w:val="00170448"/>
    <w:rsid w:val="001705AC"/>
    <w:rsid w:val="00172A27"/>
    <w:rsid w:val="0017585A"/>
    <w:rsid w:val="001774FC"/>
    <w:rsid w:val="001778A7"/>
    <w:rsid w:val="001821E4"/>
    <w:rsid w:val="00182870"/>
    <w:rsid w:val="0018425C"/>
    <w:rsid w:val="001845AB"/>
    <w:rsid w:val="0018577A"/>
    <w:rsid w:val="00185DF8"/>
    <w:rsid w:val="00191961"/>
    <w:rsid w:val="00192AC9"/>
    <w:rsid w:val="001937E6"/>
    <w:rsid w:val="001A35BA"/>
    <w:rsid w:val="001A5DC5"/>
    <w:rsid w:val="001A6451"/>
    <w:rsid w:val="001B00B3"/>
    <w:rsid w:val="001B0B21"/>
    <w:rsid w:val="001B33B9"/>
    <w:rsid w:val="001C09B4"/>
    <w:rsid w:val="001D11B2"/>
    <w:rsid w:val="001D234B"/>
    <w:rsid w:val="001D2C5E"/>
    <w:rsid w:val="001D3600"/>
    <w:rsid w:val="001D5199"/>
    <w:rsid w:val="001D65D5"/>
    <w:rsid w:val="001E0C26"/>
    <w:rsid w:val="001E2212"/>
    <w:rsid w:val="001F36DC"/>
    <w:rsid w:val="001F3AAC"/>
    <w:rsid w:val="001F7646"/>
    <w:rsid w:val="00202081"/>
    <w:rsid w:val="002045CC"/>
    <w:rsid w:val="002078A2"/>
    <w:rsid w:val="00217575"/>
    <w:rsid w:val="002204D4"/>
    <w:rsid w:val="00220BBE"/>
    <w:rsid w:val="00222A1C"/>
    <w:rsid w:val="00224C44"/>
    <w:rsid w:val="00225420"/>
    <w:rsid w:val="00227544"/>
    <w:rsid w:val="00231620"/>
    <w:rsid w:val="00236BE9"/>
    <w:rsid w:val="0024106A"/>
    <w:rsid w:val="00241F5C"/>
    <w:rsid w:val="0024519E"/>
    <w:rsid w:val="002467E0"/>
    <w:rsid w:val="00253315"/>
    <w:rsid w:val="00257FB7"/>
    <w:rsid w:val="00261485"/>
    <w:rsid w:val="00272289"/>
    <w:rsid w:val="00272376"/>
    <w:rsid w:val="002737F3"/>
    <w:rsid w:val="00274376"/>
    <w:rsid w:val="00274E57"/>
    <w:rsid w:val="002763FD"/>
    <w:rsid w:val="002766E0"/>
    <w:rsid w:val="00280598"/>
    <w:rsid w:val="00282568"/>
    <w:rsid w:val="002866B1"/>
    <w:rsid w:val="00286C35"/>
    <w:rsid w:val="0029030E"/>
    <w:rsid w:val="00292F93"/>
    <w:rsid w:val="00294254"/>
    <w:rsid w:val="00295C90"/>
    <w:rsid w:val="002A222A"/>
    <w:rsid w:val="002A2301"/>
    <w:rsid w:val="002A3192"/>
    <w:rsid w:val="002A3A3B"/>
    <w:rsid w:val="002B1001"/>
    <w:rsid w:val="002B4298"/>
    <w:rsid w:val="002B7440"/>
    <w:rsid w:val="002B78B0"/>
    <w:rsid w:val="002C1646"/>
    <w:rsid w:val="002C28CB"/>
    <w:rsid w:val="002C4163"/>
    <w:rsid w:val="002C4EC0"/>
    <w:rsid w:val="002D123E"/>
    <w:rsid w:val="002D2A0E"/>
    <w:rsid w:val="002D6810"/>
    <w:rsid w:val="002D695C"/>
    <w:rsid w:val="002E2119"/>
    <w:rsid w:val="002E34CD"/>
    <w:rsid w:val="002E5313"/>
    <w:rsid w:val="002F5C50"/>
    <w:rsid w:val="002F7DC4"/>
    <w:rsid w:val="0030007F"/>
    <w:rsid w:val="0030741F"/>
    <w:rsid w:val="003100A4"/>
    <w:rsid w:val="003110F7"/>
    <w:rsid w:val="00311538"/>
    <w:rsid w:val="0031762E"/>
    <w:rsid w:val="00321F5D"/>
    <w:rsid w:val="00324D18"/>
    <w:rsid w:val="00326582"/>
    <w:rsid w:val="00327299"/>
    <w:rsid w:val="00327577"/>
    <w:rsid w:val="0033394C"/>
    <w:rsid w:val="00333B8F"/>
    <w:rsid w:val="003471C4"/>
    <w:rsid w:val="00355DE3"/>
    <w:rsid w:val="0036036D"/>
    <w:rsid w:val="0036189E"/>
    <w:rsid w:val="00361A2F"/>
    <w:rsid w:val="00362B0E"/>
    <w:rsid w:val="003637F5"/>
    <w:rsid w:val="00363BC9"/>
    <w:rsid w:val="00365317"/>
    <w:rsid w:val="00371EBD"/>
    <w:rsid w:val="00372A25"/>
    <w:rsid w:val="00390BC9"/>
    <w:rsid w:val="00390C20"/>
    <w:rsid w:val="00390C38"/>
    <w:rsid w:val="00392097"/>
    <w:rsid w:val="00392F12"/>
    <w:rsid w:val="00392FE1"/>
    <w:rsid w:val="0039358C"/>
    <w:rsid w:val="00394176"/>
    <w:rsid w:val="003A0AAB"/>
    <w:rsid w:val="003A17E8"/>
    <w:rsid w:val="003A3361"/>
    <w:rsid w:val="003A4418"/>
    <w:rsid w:val="003B2B20"/>
    <w:rsid w:val="003B5B83"/>
    <w:rsid w:val="003B70F1"/>
    <w:rsid w:val="003C044E"/>
    <w:rsid w:val="003C28F8"/>
    <w:rsid w:val="003C2D1F"/>
    <w:rsid w:val="003C6049"/>
    <w:rsid w:val="003D02F9"/>
    <w:rsid w:val="003D0D0B"/>
    <w:rsid w:val="003D1BBD"/>
    <w:rsid w:val="003D2391"/>
    <w:rsid w:val="003D3FFB"/>
    <w:rsid w:val="003D41ED"/>
    <w:rsid w:val="003E1BA4"/>
    <w:rsid w:val="003E1C75"/>
    <w:rsid w:val="003E1EED"/>
    <w:rsid w:val="003E246C"/>
    <w:rsid w:val="003E475B"/>
    <w:rsid w:val="003E55C7"/>
    <w:rsid w:val="003E6B2C"/>
    <w:rsid w:val="003F2DA9"/>
    <w:rsid w:val="003F6162"/>
    <w:rsid w:val="003F71F9"/>
    <w:rsid w:val="004000D0"/>
    <w:rsid w:val="00406F62"/>
    <w:rsid w:val="00410E54"/>
    <w:rsid w:val="0041329C"/>
    <w:rsid w:val="0041597C"/>
    <w:rsid w:val="0042166E"/>
    <w:rsid w:val="00421B8F"/>
    <w:rsid w:val="00422D77"/>
    <w:rsid w:val="004324A3"/>
    <w:rsid w:val="00437809"/>
    <w:rsid w:val="00441A10"/>
    <w:rsid w:val="00442166"/>
    <w:rsid w:val="0044552C"/>
    <w:rsid w:val="00450CFA"/>
    <w:rsid w:val="004514A1"/>
    <w:rsid w:val="00452DEF"/>
    <w:rsid w:val="00457C04"/>
    <w:rsid w:val="00461AC2"/>
    <w:rsid w:val="00466F3B"/>
    <w:rsid w:val="00467906"/>
    <w:rsid w:val="00470F08"/>
    <w:rsid w:val="00472100"/>
    <w:rsid w:val="004722AF"/>
    <w:rsid w:val="00472CF2"/>
    <w:rsid w:val="004804F3"/>
    <w:rsid w:val="00481441"/>
    <w:rsid w:val="0048430A"/>
    <w:rsid w:val="004915CB"/>
    <w:rsid w:val="004A010F"/>
    <w:rsid w:val="004A0FF5"/>
    <w:rsid w:val="004B2873"/>
    <w:rsid w:val="004B5FE5"/>
    <w:rsid w:val="004B61AE"/>
    <w:rsid w:val="004C53C2"/>
    <w:rsid w:val="004D0801"/>
    <w:rsid w:val="004D10C1"/>
    <w:rsid w:val="004D1204"/>
    <w:rsid w:val="004D7C8C"/>
    <w:rsid w:val="004E49EC"/>
    <w:rsid w:val="004E78DC"/>
    <w:rsid w:val="004F039D"/>
    <w:rsid w:val="004F0E97"/>
    <w:rsid w:val="004F3B10"/>
    <w:rsid w:val="004F3B9C"/>
    <w:rsid w:val="004F4676"/>
    <w:rsid w:val="004F5B31"/>
    <w:rsid w:val="00501DD4"/>
    <w:rsid w:val="00507A55"/>
    <w:rsid w:val="00510DB3"/>
    <w:rsid w:val="0051355B"/>
    <w:rsid w:val="005213C8"/>
    <w:rsid w:val="00521FCD"/>
    <w:rsid w:val="00523CB1"/>
    <w:rsid w:val="00525711"/>
    <w:rsid w:val="005343CB"/>
    <w:rsid w:val="00542922"/>
    <w:rsid w:val="00543419"/>
    <w:rsid w:val="00550565"/>
    <w:rsid w:val="00551985"/>
    <w:rsid w:val="00553AB3"/>
    <w:rsid w:val="00557123"/>
    <w:rsid w:val="00561685"/>
    <w:rsid w:val="005618C8"/>
    <w:rsid w:val="005624B3"/>
    <w:rsid w:val="005645E0"/>
    <w:rsid w:val="00565CE1"/>
    <w:rsid w:val="005700B3"/>
    <w:rsid w:val="00582505"/>
    <w:rsid w:val="00584423"/>
    <w:rsid w:val="00591EC1"/>
    <w:rsid w:val="00593DC5"/>
    <w:rsid w:val="0059580A"/>
    <w:rsid w:val="00596858"/>
    <w:rsid w:val="00597B2B"/>
    <w:rsid w:val="005A02FC"/>
    <w:rsid w:val="005A30AB"/>
    <w:rsid w:val="005A3AE2"/>
    <w:rsid w:val="005B5A64"/>
    <w:rsid w:val="005B5F93"/>
    <w:rsid w:val="005B69E5"/>
    <w:rsid w:val="005C4386"/>
    <w:rsid w:val="005C52B7"/>
    <w:rsid w:val="005C5612"/>
    <w:rsid w:val="005C5746"/>
    <w:rsid w:val="005C5A99"/>
    <w:rsid w:val="005C5C90"/>
    <w:rsid w:val="005D0DDC"/>
    <w:rsid w:val="005D490B"/>
    <w:rsid w:val="005D5D20"/>
    <w:rsid w:val="005E4339"/>
    <w:rsid w:val="005E4DFC"/>
    <w:rsid w:val="005E68B4"/>
    <w:rsid w:val="005F58D3"/>
    <w:rsid w:val="00601BB1"/>
    <w:rsid w:val="00602207"/>
    <w:rsid w:val="006101C5"/>
    <w:rsid w:val="00615F74"/>
    <w:rsid w:val="0062139D"/>
    <w:rsid w:val="0062275A"/>
    <w:rsid w:val="00624CAB"/>
    <w:rsid w:val="00630A91"/>
    <w:rsid w:val="00634C1B"/>
    <w:rsid w:val="0063774A"/>
    <w:rsid w:val="006404C2"/>
    <w:rsid w:val="00641704"/>
    <w:rsid w:val="00643D81"/>
    <w:rsid w:val="00656599"/>
    <w:rsid w:val="00663452"/>
    <w:rsid w:val="006644FA"/>
    <w:rsid w:val="006647A1"/>
    <w:rsid w:val="00676DA9"/>
    <w:rsid w:val="00681169"/>
    <w:rsid w:val="00681919"/>
    <w:rsid w:val="006826C7"/>
    <w:rsid w:val="00685342"/>
    <w:rsid w:val="00690CB1"/>
    <w:rsid w:val="006921EF"/>
    <w:rsid w:val="00697976"/>
    <w:rsid w:val="006A3EA3"/>
    <w:rsid w:val="006A4CB0"/>
    <w:rsid w:val="006B7D5D"/>
    <w:rsid w:val="006C008E"/>
    <w:rsid w:val="006C3938"/>
    <w:rsid w:val="006C3E6F"/>
    <w:rsid w:val="006C467C"/>
    <w:rsid w:val="006C5BDA"/>
    <w:rsid w:val="006D1943"/>
    <w:rsid w:val="006E471E"/>
    <w:rsid w:val="006E7960"/>
    <w:rsid w:val="006F4140"/>
    <w:rsid w:val="006F7BD3"/>
    <w:rsid w:val="0070253A"/>
    <w:rsid w:val="00703B66"/>
    <w:rsid w:val="007115A3"/>
    <w:rsid w:val="00713557"/>
    <w:rsid w:val="007155C7"/>
    <w:rsid w:val="0071782F"/>
    <w:rsid w:val="0072323C"/>
    <w:rsid w:val="00725902"/>
    <w:rsid w:val="007272F8"/>
    <w:rsid w:val="007300DE"/>
    <w:rsid w:val="00735A7E"/>
    <w:rsid w:val="00741FF2"/>
    <w:rsid w:val="007459DD"/>
    <w:rsid w:val="00746DF9"/>
    <w:rsid w:val="00756D51"/>
    <w:rsid w:val="00757DB2"/>
    <w:rsid w:val="0076089F"/>
    <w:rsid w:val="00761DC8"/>
    <w:rsid w:val="0076533C"/>
    <w:rsid w:val="00770F07"/>
    <w:rsid w:val="00775C4B"/>
    <w:rsid w:val="00776DF2"/>
    <w:rsid w:val="00780CBB"/>
    <w:rsid w:val="00782001"/>
    <w:rsid w:val="00782651"/>
    <w:rsid w:val="0078799C"/>
    <w:rsid w:val="007928B5"/>
    <w:rsid w:val="00794C9C"/>
    <w:rsid w:val="007973C9"/>
    <w:rsid w:val="007A07ED"/>
    <w:rsid w:val="007A22A9"/>
    <w:rsid w:val="007A7B1E"/>
    <w:rsid w:val="007B18CF"/>
    <w:rsid w:val="007B1DFD"/>
    <w:rsid w:val="007C1407"/>
    <w:rsid w:val="007C1929"/>
    <w:rsid w:val="007C3A24"/>
    <w:rsid w:val="007C5BF0"/>
    <w:rsid w:val="007C6083"/>
    <w:rsid w:val="007D0853"/>
    <w:rsid w:val="007D5A02"/>
    <w:rsid w:val="007E0983"/>
    <w:rsid w:val="007E3284"/>
    <w:rsid w:val="007E4241"/>
    <w:rsid w:val="007E6DC9"/>
    <w:rsid w:val="007E7FCA"/>
    <w:rsid w:val="007F10D7"/>
    <w:rsid w:val="007F262B"/>
    <w:rsid w:val="00800F19"/>
    <w:rsid w:val="00804C06"/>
    <w:rsid w:val="00807A54"/>
    <w:rsid w:val="0081111C"/>
    <w:rsid w:val="008129BA"/>
    <w:rsid w:val="00820042"/>
    <w:rsid w:val="00822F1F"/>
    <w:rsid w:val="00823C71"/>
    <w:rsid w:val="008240F7"/>
    <w:rsid w:val="00825D26"/>
    <w:rsid w:val="00826D6C"/>
    <w:rsid w:val="008319CE"/>
    <w:rsid w:val="008322B5"/>
    <w:rsid w:val="008376C8"/>
    <w:rsid w:val="00841329"/>
    <w:rsid w:val="0084456F"/>
    <w:rsid w:val="00845D0D"/>
    <w:rsid w:val="00851334"/>
    <w:rsid w:val="00860693"/>
    <w:rsid w:val="0086127C"/>
    <w:rsid w:val="008625FB"/>
    <w:rsid w:val="0086627C"/>
    <w:rsid w:val="00867B59"/>
    <w:rsid w:val="00873243"/>
    <w:rsid w:val="00874855"/>
    <w:rsid w:val="008811ED"/>
    <w:rsid w:val="0088164F"/>
    <w:rsid w:val="00884ED4"/>
    <w:rsid w:val="00887CF4"/>
    <w:rsid w:val="00893F73"/>
    <w:rsid w:val="00895913"/>
    <w:rsid w:val="008A42BD"/>
    <w:rsid w:val="008A72A0"/>
    <w:rsid w:val="008B1B19"/>
    <w:rsid w:val="008B2D32"/>
    <w:rsid w:val="008B36B1"/>
    <w:rsid w:val="008B3D55"/>
    <w:rsid w:val="008B62CA"/>
    <w:rsid w:val="008C118C"/>
    <w:rsid w:val="008C1567"/>
    <w:rsid w:val="008C30AA"/>
    <w:rsid w:val="008C3B9E"/>
    <w:rsid w:val="008C4AFF"/>
    <w:rsid w:val="008C571C"/>
    <w:rsid w:val="008D24F9"/>
    <w:rsid w:val="008D34AE"/>
    <w:rsid w:val="008D7401"/>
    <w:rsid w:val="008E18C2"/>
    <w:rsid w:val="008E1F45"/>
    <w:rsid w:val="008E4413"/>
    <w:rsid w:val="008E72B0"/>
    <w:rsid w:val="008F0E79"/>
    <w:rsid w:val="008F22E6"/>
    <w:rsid w:val="008F6EAE"/>
    <w:rsid w:val="0090053D"/>
    <w:rsid w:val="00900A89"/>
    <w:rsid w:val="0090154A"/>
    <w:rsid w:val="00905A6F"/>
    <w:rsid w:val="009116AE"/>
    <w:rsid w:val="00913EE1"/>
    <w:rsid w:val="009148F1"/>
    <w:rsid w:val="00916B1E"/>
    <w:rsid w:val="0091700F"/>
    <w:rsid w:val="009225C9"/>
    <w:rsid w:val="00923D3F"/>
    <w:rsid w:val="00925CE7"/>
    <w:rsid w:val="009264FD"/>
    <w:rsid w:val="0092708A"/>
    <w:rsid w:val="00927F9B"/>
    <w:rsid w:val="00933945"/>
    <w:rsid w:val="00935D54"/>
    <w:rsid w:val="00943906"/>
    <w:rsid w:val="00944408"/>
    <w:rsid w:val="00945033"/>
    <w:rsid w:val="009458B0"/>
    <w:rsid w:val="00947852"/>
    <w:rsid w:val="009531D9"/>
    <w:rsid w:val="009534D3"/>
    <w:rsid w:val="00955464"/>
    <w:rsid w:val="00956710"/>
    <w:rsid w:val="009579AF"/>
    <w:rsid w:val="009608FC"/>
    <w:rsid w:val="009610A5"/>
    <w:rsid w:val="00961703"/>
    <w:rsid w:val="009634AD"/>
    <w:rsid w:val="009648B7"/>
    <w:rsid w:val="00965EB0"/>
    <w:rsid w:val="00970174"/>
    <w:rsid w:val="009760A0"/>
    <w:rsid w:val="00983991"/>
    <w:rsid w:val="00984227"/>
    <w:rsid w:val="0099014C"/>
    <w:rsid w:val="009903F5"/>
    <w:rsid w:val="009915F9"/>
    <w:rsid w:val="0099348F"/>
    <w:rsid w:val="009949BE"/>
    <w:rsid w:val="009A038E"/>
    <w:rsid w:val="009A20DF"/>
    <w:rsid w:val="009A3283"/>
    <w:rsid w:val="009A3EED"/>
    <w:rsid w:val="009A5AB0"/>
    <w:rsid w:val="009B03C5"/>
    <w:rsid w:val="009B4E62"/>
    <w:rsid w:val="009B7964"/>
    <w:rsid w:val="009B7B0F"/>
    <w:rsid w:val="009C02B0"/>
    <w:rsid w:val="009C307E"/>
    <w:rsid w:val="009C4B62"/>
    <w:rsid w:val="009C504A"/>
    <w:rsid w:val="009C5605"/>
    <w:rsid w:val="009C5A80"/>
    <w:rsid w:val="009C76FA"/>
    <w:rsid w:val="009D5593"/>
    <w:rsid w:val="009D6542"/>
    <w:rsid w:val="009E5612"/>
    <w:rsid w:val="009F2D70"/>
    <w:rsid w:val="00A003A1"/>
    <w:rsid w:val="00A009EA"/>
    <w:rsid w:val="00A02800"/>
    <w:rsid w:val="00A054D3"/>
    <w:rsid w:val="00A07605"/>
    <w:rsid w:val="00A12278"/>
    <w:rsid w:val="00A145BE"/>
    <w:rsid w:val="00A163DD"/>
    <w:rsid w:val="00A1762D"/>
    <w:rsid w:val="00A33155"/>
    <w:rsid w:val="00A36A01"/>
    <w:rsid w:val="00A40340"/>
    <w:rsid w:val="00A468DE"/>
    <w:rsid w:val="00A46EEA"/>
    <w:rsid w:val="00A474C4"/>
    <w:rsid w:val="00A5256B"/>
    <w:rsid w:val="00A531AC"/>
    <w:rsid w:val="00A54EEB"/>
    <w:rsid w:val="00A6106A"/>
    <w:rsid w:val="00A62580"/>
    <w:rsid w:val="00A632C7"/>
    <w:rsid w:val="00A65DBA"/>
    <w:rsid w:val="00A65E96"/>
    <w:rsid w:val="00A6646D"/>
    <w:rsid w:val="00A66F3A"/>
    <w:rsid w:val="00A67C92"/>
    <w:rsid w:val="00A71B5A"/>
    <w:rsid w:val="00A74AC7"/>
    <w:rsid w:val="00A75127"/>
    <w:rsid w:val="00A754F5"/>
    <w:rsid w:val="00A7771A"/>
    <w:rsid w:val="00A80374"/>
    <w:rsid w:val="00A81531"/>
    <w:rsid w:val="00A838D5"/>
    <w:rsid w:val="00A9039C"/>
    <w:rsid w:val="00A909FD"/>
    <w:rsid w:val="00A9375E"/>
    <w:rsid w:val="00A966DE"/>
    <w:rsid w:val="00AA5E42"/>
    <w:rsid w:val="00AA792D"/>
    <w:rsid w:val="00AB3950"/>
    <w:rsid w:val="00AB44B4"/>
    <w:rsid w:val="00AB6CA5"/>
    <w:rsid w:val="00AB7D0F"/>
    <w:rsid w:val="00AC2B02"/>
    <w:rsid w:val="00AC432A"/>
    <w:rsid w:val="00AC5669"/>
    <w:rsid w:val="00AC5DC9"/>
    <w:rsid w:val="00AD2C05"/>
    <w:rsid w:val="00AD3C51"/>
    <w:rsid w:val="00AD5987"/>
    <w:rsid w:val="00AD639B"/>
    <w:rsid w:val="00AD713D"/>
    <w:rsid w:val="00AD739D"/>
    <w:rsid w:val="00AE373C"/>
    <w:rsid w:val="00AF1792"/>
    <w:rsid w:val="00AF1918"/>
    <w:rsid w:val="00AF3D1A"/>
    <w:rsid w:val="00AF6D66"/>
    <w:rsid w:val="00B16B39"/>
    <w:rsid w:val="00B17ACC"/>
    <w:rsid w:val="00B21E99"/>
    <w:rsid w:val="00B21EBE"/>
    <w:rsid w:val="00B25B3C"/>
    <w:rsid w:val="00B36ACD"/>
    <w:rsid w:val="00B370B8"/>
    <w:rsid w:val="00B4457E"/>
    <w:rsid w:val="00B53121"/>
    <w:rsid w:val="00B53DA2"/>
    <w:rsid w:val="00B646D2"/>
    <w:rsid w:val="00B700A0"/>
    <w:rsid w:val="00B73B63"/>
    <w:rsid w:val="00B7532E"/>
    <w:rsid w:val="00B7542E"/>
    <w:rsid w:val="00B75B9A"/>
    <w:rsid w:val="00B75D06"/>
    <w:rsid w:val="00B76361"/>
    <w:rsid w:val="00B768EA"/>
    <w:rsid w:val="00B806CD"/>
    <w:rsid w:val="00B80DBF"/>
    <w:rsid w:val="00B81289"/>
    <w:rsid w:val="00B91DA5"/>
    <w:rsid w:val="00B92C9E"/>
    <w:rsid w:val="00B93FEF"/>
    <w:rsid w:val="00B9454D"/>
    <w:rsid w:val="00B96F51"/>
    <w:rsid w:val="00BA4524"/>
    <w:rsid w:val="00BA474F"/>
    <w:rsid w:val="00BA55F0"/>
    <w:rsid w:val="00BA5DFB"/>
    <w:rsid w:val="00BB100E"/>
    <w:rsid w:val="00BB2328"/>
    <w:rsid w:val="00BB2A76"/>
    <w:rsid w:val="00BB2E2E"/>
    <w:rsid w:val="00BC0455"/>
    <w:rsid w:val="00BC3B12"/>
    <w:rsid w:val="00BD11EB"/>
    <w:rsid w:val="00BD1CF8"/>
    <w:rsid w:val="00BD371A"/>
    <w:rsid w:val="00BD464B"/>
    <w:rsid w:val="00BE2D57"/>
    <w:rsid w:val="00BE6290"/>
    <w:rsid w:val="00BE75D9"/>
    <w:rsid w:val="00BF1006"/>
    <w:rsid w:val="00BF3AAE"/>
    <w:rsid w:val="00BF4191"/>
    <w:rsid w:val="00BF6604"/>
    <w:rsid w:val="00BF6D4F"/>
    <w:rsid w:val="00BF7581"/>
    <w:rsid w:val="00BF7B54"/>
    <w:rsid w:val="00C00C1E"/>
    <w:rsid w:val="00C020F4"/>
    <w:rsid w:val="00C05034"/>
    <w:rsid w:val="00C05A3A"/>
    <w:rsid w:val="00C07647"/>
    <w:rsid w:val="00C12F88"/>
    <w:rsid w:val="00C15865"/>
    <w:rsid w:val="00C22ED1"/>
    <w:rsid w:val="00C23D65"/>
    <w:rsid w:val="00C24445"/>
    <w:rsid w:val="00C258C1"/>
    <w:rsid w:val="00C268BA"/>
    <w:rsid w:val="00C26E3D"/>
    <w:rsid w:val="00C30348"/>
    <w:rsid w:val="00C330D5"/>
    <w:rsid w:val="00C40590"/>
    <w:rsid w:val="00C429F3"/>
    <w:rsid w:val="00C447F3"/>
    <w:rsid w:val="00C4507D"/>
    <w:rsid w:val="00C469BC"/>
    <w:rsid w:val="00C54C4C"/>
    <w:rsid w:val="00C6240B"/>
    <w:rsid w:val="00C64C98"/>
    <w:rsid w:val="00C65F16"/>
    <w:rsid w:val="00C662C0"/>
    <w:rsid w:val="00C66489"/>
    <w:rsid w:val="00C74B88"/>
    <w:rsid w:val="00C77236"/>
    <w:rsid w:val="00C77BBD"/>
    <w:rsid w:val="00C82F72"/>
    <w:rsid w:val="00C85251"/>
    <w:rsid w:val="00C860C0"/>
    <w:rsid w:val="00C87510"/>
    <w:rsid w:val="00C90C5B"/>
    <w:rsid w:val="00C956A9"/>
    <w:rsid w:val="00C96DC1"/>
    <w:rsid w:val="00C97790"/>
    <w:rsid w:val="00CA2131"/>
    <w:rsid w:val="00CA2CAD"/>
    <w:rsid w:val="00CA4605"/>
    <w:rsid w:val="00CB24EC"/>
    <w:rsid w:val="00CC2EBF"/>
    <w:rsid w:val="00CC4885"/>
    <w:rsid w:val="00CC6A00"/>
    <w:rsid w:val="00CD173D"/>
    <w:rsid w:val="00CD242B"/>
    <w:rsid w:val="00CD7708"/>
    <w:rsid w:val="00CE21EF"/>
    <w:rsid w:val="00CE2C7F"/>
    <w:rsid w:val="00CE4E7A"/>
    <w:rsid w:val="00CF1D15"/>
    <w:rsid w:val="00CF3756"/>
    <w:rsid w:val="00CF4D51"/>
    <w:rsid w:val="00CF71AB"/>
    <w:rsid w:val="00D011CD"/>
    <w:rsid w:val="00D01C6E"/>
    <w:rsid w:val="00D03D17"/>
    <w:rsid w:val="00D0438D"/>
    <w:rsid w:val="00D04B89"/>
    <w:rsid w:val="00D05B62"/>
    <w:rsid w:val="00D05E8D"/>
    <w:rsid w:val="00D06861"/>
    <w:rsid w:val="00D103F4"/>
    <w:rsid w:val="00D25621"/>
    <w:rsid w:val="00D2725E"/>
    <w:rsid w:val="00D27BF9"/>
    <w:rsid w:val="00D30706"/>
    <w:rsid w:val="00D32E54"/>
    <w:rsid w:val="00D375A6"/>
    <w:rsid w:val="00D37801"/>
    <w:rsid w:val="00D37C53"/>
    <w:rsid w:val="00D41279"/>
    <w:rsid w:val="00D437DA"/>
    <w:rsid w:val="00D52AA9"/>
    <w:rsid w:val="00D56A22"/>
    <w:rsid w:val="00D6103F"/>
    <w:rsid w:val="00D63931"/>
    <w:rsid w:val="00D66573"/>
    <w:rsid w:val="00D70DE1"/>
    <w:rsid w:val="00D7435D"/>
    <w:rsid w:val="00D75B31"/>
    <w:rsid w:val="00D77EB3"/>
    <w:rsid w:val="00D82DE5"/>
    <w:rsid w:val="00D83E12"/>
    <w:rsid w:val="00D8496D"/>
    <w:rsid w:val="00D8539D"/>
    <w:rsid w:val="00D85653"/>
    <w:rsid w:val="00D86159"/>
    <w:rsid w:val="00D911F3"/>
    <w:rsid w:val="00D91800"/>
    <w:rsid w:val="00D92DB7"/>
    <w:rsid w:val="00D9505C"/>
    <w:rsid w:val="00D97860"/>
    <w:rsid w:val="00DA283A"/>
    <w:rsid w:val="00DA4AB3"/>
    <w:rsid w:val="00DA4C62"/>
    <w:rsid w:val="00DA5564"/>
    <w:rsid w:val="00DB117E"/>
    <w:rsid w:val="00DB29E2"/>
    <w:rsid w:val="00DB6FA3"/>
    <w:rsid w:val="00DC17A1"/>
    <w:rsid w:val="00DD13E0"/>
    <w:rsid w:val="00DD72B7"/>
    <w:rsid w:val="00DE226A"/>
    <w:rsid w:val="00DE2963"/>
    <w:rsid w:val="00DE49C6"/>
    <w:rsid w:val="00DF084D"/>
    <w:rsid w:val="00DF6147"/>
    <w:rsid w:val="00E049C8"/>
    <w:rsid w:val="00E105B5"/>
    <w:rsid w:val="00E13772"/>
    <w:rsid w:val="00E15AF9"/>
    <w:rsid w:val="00E173C4"/>
    <w:rsid w:val="00E23BEB"/>
    <w:rsid w:val="00E26B61"/>
    <w:rsid w:val="00E278EB"/>
    <w:rsid w:val="00E3690D"/>
    <w:rsid w:val="00E36D29"/>
    <w:rsid w:val="00E4055C"/>
    <w:rsid w:val="00E40E03"/>
    <w:rsid w:val="00E46AC2"/>
    <w:rsid w:val="00E50619"/>
    <w:rsid w:val="00E52D88"/>
    <w:rsid w:val="00E54DEB"/>
    <w:rsid w:val="00E550FD"/>
    <w:rsid w:val="00E56CB0"/>
    <w:rsid w:val="00E57CC1"/>
    <w:rsid w:val="00E64E79"/>
    <w:rsid w:val="00E65FD5"/>
    <w:rsid w:val="00E72268"/>
    <w:rsid w:val="00E748AB"/>
    <w:rsid w:val="00E7497C"/>
    <w:rsid w:val="00E74F14"/>
    <w:rsid w:val="00E763AF"/>
    <w:rsid w:val="00E80646"/>
    <w:rsid w:val="00E80F4D"/>
    <w:rsid w:val="00E86075"/>
    <w:rsid w:val="00E86DCF"/>
    <w:rsid w:val="00EA0A8B"/>
    <w:rsid w:val="00EA5932"/>
    <w:rsid w:val="00EB0063"/>
    <w:rsid w:val="00EC7BCE"/>
    <w:rsid w:val="00ED27EC"/>
    <w:rsid w:val="00ED3669"/>
    <w:rsid w:val="00ED57E1"/>
    <w:rsid w:val="00EF4F47"/>
    <w:rsid w:val="00EF536C"/>
    <w:rsid w:val="00EF71EF"/>
    <w:rsid w:val="00F05C62"/>
    <w:rsid w:val="00F10B0F"/>
    <w:rsid w:val="00F13E0D"/>
    <w:rsid w:val="00F163F3"/>
    <w:rsid w:val="00F1657C"/>
    <w:rsid w:val="00F278D6"/>
    <w:rsid w:val="00F33F65"/>
    <w:rsid w:val="00F518A4"/>
    <w:rsid w:val="00F60426"/>
    <w:rsid w:val="00F607D9"/>
    <w:rsid w:val="00F623BE"/>
    <w:rsid w:val="00F62407"/>
    <w:rsid w:val="00F62BA8"/>
    <w:rsid w:val="00F646BB"/>
    <w:rsid w:val="00F717F1"/>
    <w:rsid w:val="00F719B2"/>
    <w:rsid w:val="00F757D0"/>
    <w:rsid w:val="00F76563"/>
    <w:rsid w:val="00F76BA7"/>
    <w:rsid w:val="00F863C4"/>
    <w:rsid w:val="00F930C2"/>
    <w:rsid w:val="00F93F51"/>
    <w:rsid w:val="00F94DF8"/>
    <w:rsid w:val="00F9533E"/>
    <w:rsid w:val="00F95F5B"/>
    <w:rsid w:val="00F96123"/>
    <w:rsid w:val="00FA0BC8"/>
    <w:rsid w:val="00FA127F"/>
    <w:rsid w:val="00FA1319"/>
    <w:rsid w:val="00FA239C"/>
    <w:rsid w:val="00FB07AB"/>
    <w:rsid w:val="00FB6150"/>
    <w:rsid w:val="00FC10BC"/>
    <w:rsid w:val="00FD0A92"/>
    <w:rsid w:val="00FD119C"/>
    <w:rsid w:val="00FD446D"/>
    <w:rsid w:val="00FE1F1A"/>
    <w:rsid w:val="00FF099A"/>
    <w:rsid w:val="00FF0E90"/>
    <w:rsid w:val="00FF3D5F"/>
    <w:rsid w:val="01107C48"/>
    <w:rsid w:val="016E1B32"/>
    <w:rsid w:val="017F1752"/>
    <w:rsid w:val="018A088E"/>
    <w:rsid w:val="022A4754"/>
    <w:rsid w:val="02715005"/>
    <w:rsid w:val="0293267C"/>
    <w:rsid w:val="02A44B47"/>
    <w:rsid w:val="02C711AF"/>
    <w:rsid w:val="02CA092D"/>
    <w:rsid w:val="02DE60F9"/>
    <w:rsid w:val="037D4AF3"/>
    <w:rsid w:val="03AD4A8D"/>
    <w:rsid w:val="042F2BC0"/>
    <w:rsid w:val="04A14210"/>
    <w:rsid w:val="04BB2C19"/>
    <w:rsid w:val="05967314"/>
    <w:rsid w:val="05B44D3B"/>
    <w:rsid w:val="063567B1"/>
    <w:rsid w:val="065E0ADF"/>
    <w:rsid w:val="06D564E8"/>
    <w:rsid w:val="07140750"/>
    <w:rsid w:val="076375C0"/>
    <w:rsid w:val="07F90D32"/>
    <w:rsid w:val="08097B34"/>
    <w:rsid w:val="082F7080"/>
    <w:rsid w:val="086F3CC4"/>
    <w:rsid w:val="092F7FC5"/>
    <w:rsid w:val="09346F62"/>
    <w:rsid w:val="09A04AB4"/>
    <w:rsid w:val="0A4B34BA"/>
    <w:rsid w:val="0A915015"/>
    <w:rsid w:val="0AA00716"/>
    <w:rsid w:val="0ABE4710"/>
    <w:rsid w:val="0AE70CCF"/>
    <w:rsid w:val="0B187796"/>
    <w:rsid w:val="0B1B237E"/>
    <w:rsid w:val="0BD12AA7"/>
    <w:rsid w:val="0C8039AE"/>
    <w:rsid w:val="0C9F5984"/>
    <w:rsid w:val="0CDA4466"/>
    <w:rsid w:val="0CDB09E8"/>
    <w:rsid w:val="0D274EB1"/>
    <w:rsid w:val="0D3230C7"/>
    <w:rsid w:val="0D457A85"/>
    <w:rsid w:val="0D954CB9"/>
    <w:rsid w:val="0DC701B3"/>
    <w:rsid w:val="0DDE1209"/>
    <w:rsid w:val="0E1843EB"/>
    <w:rsid w:val="0E5C38BD"/>
    <w:rsid w:val="0EA016EB"/>
    <w:rsid w:val="0ED11362"/>
    <w:rsid w:val="0EDC01CB"/>
    <w:rsid w:val="0EDF6DE3"/>
    <w:rsid w:val="0F6A54E7"/>
    <w:rsid w:val="0F814526"/>
    <w:rsid w:val="0FA85D10"/>
    <w:rsid w:val="0FE71F3C"/>
    <w:rsid w:val="105416A9"/>
    <w:rsid w:val="106D1AA2"/>
    <w:rsid w:val="11933F1F"/>
    <w:rsid w:val="11AE523D"/>
    <w:rsid w:val="11D829D9"/>
    <w:rsid w:val="12103136"/>
    <w:rsid w:val="126220BC"/>
    <w:rsid w:val="12775F49"/>
    <w:rsid w:val="12BF325E"/>
    <w:rsid w:val="12CC4692"/>
    <w:rsid w:val="12D86CA5"/>
    <w:rsid w:val="12FC5EC6"/>
    <w:rsid w:val="138C6CC6"/>
    <w:rsid w:val="139B7194"/>
    <w:rsid w:val="13BD2B72"/>
    <w:rsid w:val="13C93F58"/>
    <w:rsid w:val="13D46DBC"/>
    <w:rsid w:val="14167BEF"/>
    <w:rsid w:val="145A5432"/>
    <w:rsid w:val="14D14FEF"/>
    <w:rsid w:val="1503045E"/>
    <w:rsid w:val="151839FD"/>
    <w:rsid w:val="156106D7"/>
    <w:rsid w:val="156C2E18"/>
    <w:rsid w:val="15A50C80"/>
    <w:rsid w:val="164776DD"/>
    <w:rsid w:val="165B77C9"/>
    <w:rsid w:val="16B40AE0"/>
    <w:rsid w:val="171B2DF7"/>
    <w:rsid w:val="173E4F02"/>
    <w:rsid w:val="177E1583"/>
    <w:rsid w:val="179C448A"/>
    <w:rsid w:val="17A82A6E"/>
    <w:rsid w:val="17D73C09"/>
    <w:rsid w:val="17FE0D69"/>
    <w:rsid w:val="18351438"/>
    <w:rsid w:val="1843437B"/>
    <w:rsid w:val="18593C1D"/>
    <w:rsid w:val="1860609E"/>
    <w:rsid w:val="19145393"/>
    <w:rsid w:val="1916125E"/>
    <w:rsid w:val="1A0B4DE4"/>
    <w:rsid w:val="1A4838F0"/>
    <w:rsid w:val="1A7D4BC5"/>
    <w:rsid w:val="1A9D3E60"/>
    <w:rsid w:val="1ABC0385"/>
    <w:rsid w:val="1B141388"/>
    <w:rsid w:val="1B6D517D"/>
    <w:rsid w:val="1B872B4D"/>
    <w:rsid w:val="1C3850D5"/>
    <w:rsid w:val="1C53381A"/>
    <w:rsid w:val="1C857AFD"/>
    <w:rsid w:val="1D102090"/>
    <w:rsid w:val="1D2C17F9"/>
    <w:rsid w:val="1D4E38D1"/>
    <w:rsid w:val="1D5736A3"/>
    <w:rsid w:val="1D696AE7"/>
    <w:rsid w:val="1D6D1305"/>
    <w:rsid w:val="1D6EC95E"/>
    <w:rsid w:val="1D8F3755"/>
    <w:rsid w:val="1DE621E2"/>
    <w:rsid w:val="1DED3F24"/>
    <w:rsid w:val="1DF07B1C"/>
    <w:rsid w:val="1DFD05C0"/>
    <w:rsid w:val="1E791D78"/>
    <w:rsid w:val="1E8F197D"/>
    <w:rsid w:val="1ED10FC2"/>
    <w:rsid w:val="1EE13B4B"/>
    <w:rsid w:val="1F1E11F4"/>
    <w:rsid w:val="1F252BFB"/>
    <w:rsid w:val="1F3D665D"/>
    <w:rsid w:val="1F66285C"/>
    <w:rsid w:val="209E305F"/>
    <w:rsid w:val="20FC386C"/>
    <w:rsid w:val="21573969"/>
    <w:rsid w:val="2160214B"/>
    <w:rsid w:val="21815522"/>
    <w:rsid w:val="226C5969"/>
    <w:rsid w:val="227656C3"/>
    <w:rsid w:val="22946315"/>
    <w:rsid w:val="22A6775A"/>
    <w:rsid w:val="22F8768E"/>
    <w:rsid w:val="22FF181D"/>
    <w:rsid w:val="231011A1"/>
    <w:rsid w:val="234F552E"/>
    <w:rsid w:val="23615E71"/>
    <w:rsid w:val="23727102"/>
    <w:rsid w:val="23A251A4"/>
    <w:rsid w:val="24002511"/>
    <w:rsid w:val="24325A9A"/>
    <w:rsid w:val="25A91598"/>
    <w:rsid w:val="25E96BE2"/>
    <w:rsid w:val="25F76BA6"/>
    <w:rsid w:val="268450B0"/>
    <w:rsid w:val="26A47EAD"/>
    <w:rsid w:val="26C80201"/>
    <w:rsid w:val="26D16018"/>
    <w:rsid w:val="26FC5CD7"/>
    <w:rsid w:val="26FF6D89"/>
    <w:rsid w:val="276A6034"/>
    <w:rsid w:val="277E3050"/>
    <w:rsid w:val="27B243AD"/>
    <w:rsid w:val="27CA1D80"/>
    <w:rsid w:val="280E1DE5"/>
    <w:rsid w:val="283607FB"/>
    <w:rsid w:val="28802956"/>
    <w:rsid w:val="28E115CE"/>
    <w:rsid w:val="28E34AA3"/>
    <w:rsid w:val="290971BA"/>
    <w:rsid w:val="2955714A"/>
    <w:rsid w:val="29622253"/>
    <w:rsid w:val="29D579D2"/>
    <w:rsid w:val="29DF7F1A"/>
    <w:rsid w:val="2A1C3E5F"/>
    <w:rsid w:val="2A2C5E1C"/>
    <w:rsid w:val="2A9C0F6A"/>
    <w:rsid w:val="2AF229B1"/>
    <w:rsid w:val="2BAB6669"/>
    <w:rsid w:val="2D0E5642"/>
    <w:rsid w:val="2E571DDC"/>
    <w:rsid w:val="2E5D46FB"/>
    <w:rsid w:val="2E6D7963"/>
    <w:rsid w:val="2E900D93"/>
    <w:rsid w:val="2EB40635"/>
    <w:rsid w:val="2EC90A41"/>
    <w:rsid w:val="2ED57A06"/>
    <w:rsid w:val="2EDE58F7"/>
    <w:rsid w:val="2EEF6858"/>
    <w:rsid w:val="2EF150B6"/>
    <w:rsid w:val="2F297F70"/>
    <w:rsid w:val="2F3B7D7D"/>
    <w:rsid w:val="2F60451B"/>
    <w:rsid w:val="2FB66870"/>
    <w:rsid w:val="2FF749BF"/>
    <w:rsid w:val="30243F1C"/>
    <w:rsid w:val="302B62A6"/>
    <w:rsid w:val="306A6902"/>
    <w:rsid w:val="30C22529"/>
    <w:rsid w:val="31103622"/>
    <w:rsid w:val="31A35AFB"/>
    <w:rsid w:val="31B449EF"/>
    <w:rsid w:val="31C23E86"/>
    <w:rsid w:val="31C51ED3"/>
    <w:rsid w:val="31DE570C"/>
    <w:rsid w:val="31F82CB3"/>
    <w:rsid w:val="32FF6DFC"/>
    <w:rsid w:val="33932AAF"/>
    <w:rsid w:val="33E25D77"/>
    <w:rsid w:val="341617E2"/>
    <w:rsid w:val="34535AAF"/>
    <w:rsid w:val="34CB7AE2"/>
    <w:rsid w:val="352F2C36"/>
    <w:rsid w:val="35860AFD"/>
    <w:rsid w:val="35BC6D3A"/>
    <w:rsid w:val="35ED6A92"/>
    <w:rsid w:val="36070E1A"/>
    <w:rsid w:val="3659695C"/>
    <w:rsid w:val="36822C03"/>
    <w:rsid w:val="368C1D12"/>
    <w:rsid w:val="36E27F65"/>
    <w:rsid w:val="37207913"/>
    <w:rsid w:val="37470DA0"/>
    <w:rsid w:val="37617D49"/>
    <w:rsid w:val="37965B9A"/>
    <w:rsid w:val="37AE5B28"/>
    <w:rsid w:val="37B60611"/>
    <w:rsid w:val="37E912BF"/>
    <w:rsid w:val="37FC3C67"/>
    <w:rsid w:val="380F5A7C"/>
    <w:rsid w:val="383E16F0"/>
    <w:rsid w:val="38522CBB"/>
    <w:rsid w:val="38553E44"/>
    <w:rsid w:val="388F16C5"/>
    <w:rsid w:val="389C0F95"/>
    <w:rsid w:val="38B72612"/>
    <w:rsid w:val="394D193A"/>
    <w:rsid w:val="39C24437"/>
    <w:rsid w:val="39F21F59"/>
    <w:rsid w:val="3A381D47"/>
    <w:rsid w:val="3A577D39"/>
    <w:rsid w:val="3ABF721B"/>
    <w:rsid w:val="3AE4D657"/>
    <w:rsid w:val="3B1E789F"/>
    <w:rsid w:val="3B2D5D0D"/>
    <w:rsid w:val="3B8548C4"/>
    <w:rsid w:val="3BDC434B"/>
    <w:rsid w:val="3BE435A1"/>
    <w:rsid w:val="3C373E29"/>
    <w:rsid w:val="3C467591"/>
    <w:rsid w:val="3C5E4246"/>
    <w:rsid w:val="3C683AF4"/>
    <w:rsid w:val="3C9F3749"/>
    <w:rsid w:val="3D0736DA"/>
    <w:rsid w:val="3D0752FB"/>
    <w:rsid w:val="3D414382"/>
    <w:rsid w:val="3D747E84"/>
    <w:rsid w:val="3DA74B70"/>
    <w:rsid w:val="3DB72FC9"/>
    <w:rsid w:val="3DCD21AF"/>
    <w:rsid w:val="3DFB192C"/>
    <w:rsid w:val="3EA95C99"/>
    <w:rsid w:val="3ECE3820"/>
    <w:rsid w:val="3EFE744F"/>
    <w:rsid w:val="3F2B600A"/>
    <w:rsid w:val="3F5A709F"/>
    <w:rsid w:val="3F7F7CD7"/>
    <w:rsid w:val="3FB47BD5"/>
    <w:rsid w:val="3FE26561"/>
    <w:rsid w:val="40227343"/>
    <w:rsid w:val="407C2850"/>
    <w:rsid w:val="40841940"/>
    <w:rsid w:val="40D07EFD"/>
    <w:rsid w:val="4106355A"/>
    <w:rsid w:val="415C431E"/>
    <w:rsid w:val="41774496"/>
    <w:rsid w:val="41E8658E"/>
    <w:rsid w:val="42012A59"/>
    <w:rsid w:val="42233FE9"/>
    <w:rsid w:val="42751D6F"/>
    <w:rsid w:val="42E658AF"/>
    <w:rsid w:val="43111911"/>
    <w:rsid w:val="435E4031"/>
    <w:rsid w:val="437B0086"/>
    <w:rsid w:val="43891ED0"/>
    <w:rsid w:val="43AD2450"/>
    <w:rsid w:val="43B27C1A"/>
    <w:rsid w:val="442B1FF8"/>
    <w:rsid w:val="442F0269"/>
    <w:rsid w:val="44586F35"/>
    <w:rsid w:val="44602489"/>
    <w:rsid w:val="4491447A"/>
    <w:rsid w:val="449955A5"/>
    <w:rsid w:val="44BB29E7"/>
    <w:rsid w:val="45473F3E"/>
    <w:rsid w:val="46EC5BAC"/>
    <w:rsid w:val="47145AAB"/>
    <w:rsid w:val="47713852"/>
    <w:rsid w:val="47AF75A9"/>
    <w:rsid w:val="47BD6131"/>
    <w:rsid w:val="47DF0647"/>
    <w:rsid w:val="47F07033"/>
    <w:rsid w:val="48017621"/>
    <w:rsid w:val="482B25DC"/>
    <w:rsid w:val="48710511"/>
    <w:rsid w:val="48917BDA"/>
    <w:rsid w:val="489A439E"/>
    <w:rsid w:val="490A7B45"/>
    <w:rsid w:val="49177011"/>
    <w:rsid w:val="496C6818"/>
    <w:rsid w:val="49CC7E07"/>
    <w:rsid w:val="4A61548C"/>
    <w:rsid w:val="4B17555C"/>
    <w:rsid w:val="4B3A41D8"/>
    <w:rsid w:val="4B4636F0"/>
    <w:rsid w:val="4B9B72A7"/>
    <w:rsid w:val="4BB70094"/>
    <w:rsid w:val="4BFF28CD"/>
    <w:rsid w:val="4C380E98"/>
    <w:rsid w:val="4C800183"/>
    <w:rsid w:val="4CE940A3"/>
    <w:rsid w:val="4D073716"/>
    <w:rsid w:val="4D155AFE"/>
    <w:rsid w:val="4D222C13"/>
    <w:rsid w:val="4D7A0221"/>
    <w:rsid w:val="4D974F43"/>
    <w:rsid w:val="4DAE1A6C"/>
    <w:rsid w:val="4DD76D6F"/>
    <w:rsid w:val="4DDE298F"/>
    <w:rsid w:val="4E5914C2"/>
    <w:rsid w:val="4E7A4F1A"/>
    <w:rsid w:val="4F3E3868"/>
    <w:rsid w:val="4F4026F2"/>
    <w:rsid w:val="4F4919C7"/>
    <w:rsid w:val="4F714D18"/>
    <w:rsid w:val="4FAA1B61"/>
    <w:rsid w:val="50290B96"/>
    <w:rsid w:val="50312492"/>
    <w:rsid w:val="506253C3"/>
    <w:rsid w:val="50805037"/>
    <w:rsid w:val="50AE6424"/>
    <w:rsid w:val="50E07E90"/>
    <w:rsid w:val="51247366"/>
    <w:rsid w:val="513012D6"/>
    <w:rsid w:val="515C7E45"/>
    <w:rsid w:val="51641980"/>
    <w:rsid w:val="516F4D2E"/>
    <w:rsid w:val="51762292"/>
    <w:rsid w:val="51CD09EB"/>
    <w:rsid w:val="51E53CA1"/>
    <w:rsid w:val="51EA52B3"/>
    <w:rsid w:val="523446A3"/>
    <w:rsid w:val="524C054F"/>
    <w:rsid w:val="529C581E"/>
    <w:rsid w:val="52B47EAC"/>
    <w:rsid w:val="52C3188F"/>
    <w:rsid w:val="52E60E2F"/>
    <w:rsid w:val="52F77A9D"/>
    <w:rsid w:val="53061D76"/>
    <w:rsid w:val="53072CE4"/>
    <w:rsid w:val="530E479C"/>
    <w:rsid w:val="537B1D7F"/>
    <w:rsid w:val="538E2FF9"/>
    <w:rsid w:val="53940740"/>
    <w:rsid w:val="53BC7625"/>
    <w:rsid w:val="54397EF8"/>
    <w:rsid w:val="546655C5"/>
    <w:rsid w:val="54761207"/>
    <w:rsid w:val="54765E04"/>
    <w:rsid w:val="54C34E69"/>
    <w:rsid w:val="54CF49A4"/>
    <w:rsid w:val="55217883"/>
    <w:rsid w:val="5558268F"/>
    <w:rsid w:val="5590591A"/>
    <w:rsid w:val="560F76E0"/>
    <w:rsid w:val="56935F0C"/>
    <w:rsid w:val="56D5E005"/>
    <w:rsid w:val="5749782E"/>
    <w:rsid w:val="5776512D"/>
    <w:rsid w:val="578C2F43"/>
    <w:rsid w:val="57AE471A"/>
    <w:rsid w:val="57E704BB"/>
    <w:rsid w:val="581B4CB3"/>
    <w:rsid w:val="58655783"/>
    <w:rsid w:val="589412F6"/>
    <w:rsid w:val="58941F70"/>
    <w:rsid w:val="58C00E92"/>
    <w:rsid w:val="58E80218"/>
    <w:rsid w:val="59543849"/>
    <w:rsid w:val="5981635B"/>
    <w:rsid w:val="59941AB9"/>
    <w:rsid w:val="5A00712F"/>
    <w:rsid w:val="5A6D78A2"/>
    <w:rsid w:val="5B047827"/>
    <w:rsid w:val="5B59053D"/>
    <w:rsid w:val="5B783ABA"/>
    <w:rsid w:val="5B7F5001"/>
    <w:rsid w:val="5B8F763E"/>
    <w:rsid w:val="5BDF6E18"/>
    <w:rsid w:val="5C0527A9"/>
    <w:rsid w:val="5C2F143F"/>
    <w:rsid w:val="5C5D1F6E"/>
    <w:rsid w:val="5C7F32FF"/>
    <w:rsid w:val="5C825178"/>
    <w:rsid w:val="5C8B7F10"/>
    <w:rsid w:val="5CEB3F0C"/>
    <w:rsid w:val="5CF7068C"/>
    <w:rsid w:val="5CFC22B5"/>
    <w:rsid w:val="5D39673A"/>
    <w:rsid w:val="5DD32C0D"/>
    <w:rsid w:val="5DD37DA4"/>
    <w:rsid w:val="5DD6176A"/>
    <w:rsid w:val="5E2C698D"/>
    <w:rsid w:val="5E6555C6"/>
    <w:rsid w:val="5EC1547D"/>
    <w:rsid w:val="5EEE7537"/>
    <w:rsid w:val="5F301B79"/>
    <w:rsid w:val="5F6B6590"/>
    <w:rsid w:val="5F784393"/>
    <w:rsid w:val="60011397"/>
    <w:rsid w:val="60204B53"/>
    <w:rsid w:val="604F3AC9"/>
    <w:rsid w:val="60832A60"/>
    <w:rsid w:val="60980F84"/>
    <w:rsid w:val="60C76AFF"/>
    <w:rsid w:val="60FB09A7"/>
    <w:rsid w:val="61362CE3"/>
    <w:rsid w:val="616003CF"/>
    <w:rsid w:val="61785145"/>
    <w:rsid w:val="622268AC"/>
    <w:rsid w:val="624C7A0B"/>
    <w:rsid w:val="624F7850"/>
    <w:rsid w:val="629A7AEE"/>
    <w:rsid w:val="62D86C13"/>
    <w:rsid w:val="62F07DD1"/>
    <w:rsid w:val="631B74DF"/>
    <w:rsid w:val="63212997"/>
    <w:rsid w:val="64DB2945"/>
    <w:rsid w:val="65E57971"/>
    <w:rsid w:val="65F94F2D"/>
    <w:rsid w:val="66D4132F"/>
    <w:rsid w:val="67E175E0"/>
    <w:rsid w:val="684C3631"/>
    <w:rsid w:val="689D1259"/>
    <w:rsid w:val="68AD611A"/>
    <w:rsid w:val="68C47A98"/>
    <w:rsid w:val="68EF3C7C"/>
    <w:rsid w:val="68F33364"/>
    <w:rsid w:val="690A6CD0"/>
    <w:rsid w:val="69347ACA"/>
    <w:rsid w:val="69576CD6"/>
    <w:rsid w:val="69986447"/>
    <w:rsid w:val="6AB56F97"/>
    <w:rsid w:val="6B9C10BE"/>
    <w:rsid w:val="6BBB0341"/>
    <w:rsid w:val="6BF92650"/>
    <w:rsid w:val="6C2109DB"/>
    <w:rsid w:val="6C5866C3"/>
    <w:rsid w:val="6C627F03"/>
    <w:rsid w:val="6C780DB4"/>
    <w:rsid w:val="6C7E20FE"/>
    <w:rsid w:val="6C931FA4"/>
    <w:rsid w:val="6C97FCD8"/>
    <w:rsid w:val="6CA5593F"/>
    <w:rsid w:val="6CAD02FB"/>
    <w:rsid w:val="6D1C2372"/>
    <w:rsid w:val="6D3F32E1"/>
    <w:rsid w:val="6D4F56AE"/>
    <w:rsid w:val="6D954347"/>
    <w:rsid w:val="6D986419"/>
    <w:rsid w:val="6DB11979"/>
    <w:rsid w:val="6E035E23"/>
    <w:rsid w:val="6E873F0C"/>
    <w:rsid w:val="6EAD43EE"/>
    <w:rsid w:val="6EC751A5"/>
    <w:rsid w:val="6EEEDD92"/>
    <w:rsid w:val="6EF7E717"/>
    <w:rsid w:val="6F3E7336"/>
    <w:rsid w:val="6F4175A9"/>
    <w:rsid w:val="6F44200D"/>
    <w:rsid w:val="6F566E3B"/>
    <w:rsid w:val="6F7E2710"/>
    <w:rsid w:val="6FC1190D"/>
    <w:rsid w:val="6FC81EC8"/>
    <w:rsid w:val="6FCD0395"/>
    <w:rsid w:val="6FD87719"/>
    <w:rsid w:val="6FEE66A8"/>
    <w:rsid w:val="7040659E"/>
    <w:rsid w:val="70446818"/>
    <w:rsid w:val="707963ED"/>
    <w:rsid w:val="70A13782"/>
    <w:rsid w:val="70B317A6"/>
    <w:rsid w:val="70C71A46"/>
    <w:rsid w:val="70D066F7"/>
    <w:rsid w:val="712424E7"/>
    <w:rsid w:val="71580401"/>
    <w:rsid w:val="71A00974"/>
    <w:rsid w:val="723E24DB"/>
    <w:rsid w:val="72D1561E"/>
    <w:rsid w:val="72ED6453"/>
    <w:rsid w:val="733B25CA"/>
    <w:rsid w:val="733C0BB5"/>
    <w:rsid w:val="73733E62"/>
    <w:rsid w:val="73AD3A37"/>
    <w:rsid w:val="73F77D0D"/>
    <w:rsid w:val="741457EB"/>
    <w:rsid w:val="74681EC3"/>
    <w:rsid w:val="747E3413"/>
    <w:rsid w:val="748C231F"/>
    <w:rsid w:val="74D54911"/>
    <w:rsid w:val="74E36F7E"/>
    <w:rsid w:val="74F33743"/>
    <w:rsid w:val="759A466A"/>
    <w:rsid w:val="75A83A8F"/>
    <w:rsid w:val="75C46410"/>
    <w:rsid w:val="75CF7E4C"/>
    <w:rsid w:val="75E43528"/>
    <w:rsid w:val="75EE6C77"/>
    <w:rsid w:val="76306E24"/>
    <w:rsid w:val="76591916"/>
    <w:rsid w:val="76B62C69"/>
    <w:rsid w:val="76BB7B7B"/>
    <w:rsid w:val="76C5662A"/>
    <w:rsid w:val="77191D43"/>
    <w:rsid w:val="772F2A20"/>
    <w:rsid w:val="77550FB8"/>
    <w:rsid w:val="776FC48A"/>
    <w:rsid w:val="779FAC9F"/>
    <w:rsid w:val="77C60380"/>
    <w:rsid w:val="77CD32CA"/>
    <w:rsid w:val="77E57B71"/>
    <w:rsid w:val="77F373BE"/>
    <w:rsid w:val="77FC4FEB"/>
    <w:rsid w:val="7801305E"/>
    <w:rsid w:val="784870F3"/>
    <w:rsid w:val="7849685A"/>
    <w:rsid w:val="784B77D9"/>
    <w:rsid w:val="789F2454"/>
    <w:rsid w:val="78B04C80"/>
    <w:rsid w:val="78C10BB1"/>
    <w:rsid w:val="79D26DEE"/>
    <w:rsid w:val="79D53D58"/>
    <w:rsid w:val="79F242E9"/>
    <w:rsid w:val="7A3F77B9"/>
    <w:rsid w:val="7A4B62B3"/>
    <w:rsid w:val="7A4C5837"/>
    <w:rsid w:val="7A5F189D"/>
    <w:rsid w:val="7AF42E71"/>
    <w:rsid w:val="7B6F7CF5"/>
    <w:rsid w:val="7B955FAE"/>
    <w:rsid w:val="7BCF3A79"/>
    <w:rsid w:val="7C0F5AC6"/>
    <w:rsid w:val="7C10730C"/>
    <w:rsid w:val="7CAE7788"/>
    <w:rsid w:val="7CC1065D"/>
    <w:rsid w:val="7D487F2E"/>
    <w:rsid w:val="7D52182F"/>
    <w:rsid w:val="7D9F3431"/>
    <w:rsid w:val="7DB51058"/>
    <w:rsid w:val="7DB83C79"/>
    <w:rsid w:val="7DDE1873"/>
    <w:rsid w:val="7DFB9D19"/>
    <w:rsid w:val="7E605D97"/>
    <w:rsid w:val="7E6C5114"/>
    <w:rsid w:val="7E7D3DF3"/>
    <w:rsid w:val="7EDE1025"/>
    <w:rsid w:val="7F2A0A59"/>
    <w:rsid w:val="7F513869"/>
    <w:rsid w:val="7F67D0CF"/>
    <w:rsid w:val="7F6E2B0B"/>
    <w:rsid w:val="7F714071"/>
    <w:rsid w:val="7FBE69B3"/>
    <w:rsid w:val="7FBFC202"/>
    <w:rsid w:val="7FDDDCE1"/>
    <w:rsid w:val="7FDF59AC"/>
    <w:rsid w:val="8EBE2DCD"/>
    <w:rsid w:val="979E1429"/>
    <w:rsid w:val="BBFD256D"/>
    <w:rsid w:val="BFCD3889"/>
    <w:rsid w:val="BFEBFDBC"/>
    <w:rsid w:val="CBFBFEBB"/>
    <w:rsid w:val="D2FA68C2"/>
    <w:rsid w:val="DF7C756A"/>
    <w:rsid w:val="DF7D3EF7"/>
    <w:rsid w:val="DF9BA522"/>
    <w:rsid w:val="EFF78AD5"/>
    <w:rsid w:val="F6F9DB36"/>
    <w:rsid w:val="F7BBDA78"/>
    <w:rsid w:val="F9DFA9B0"/>
    <w:rsid w:val="FD1DEA2E"/>
    <w:rsid w:val="FEEDC01E"/>
    <w:rsid w:val="FFFF4C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1"/>
        <w:numId w:val="1"/>
      </w:numPr>
      <w:spacing w:before="260" w:after="260" w:line="415" w:lineRule="auto"/>
      <w:ind w:right="210" w:rightChars="100"/>
      <w:outlineLvl w:val="1"/>
    </w:pPr>
    <w:rPr>
      <w:rFonts w:ascii="Arial" w:hAnsi="Arial"/>
      <w:b/>
      <w:bCs/>
      <w:sz w:val="36"/>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unhideWhenUsed/>
    <w:qFormat/>
    <w:uiPriority w:val="99"/>
    <w:pPr>
      <w:jc w:val="left"/>
    </w:pPr>
    <w:rPr>
      <w:kern w:val="0"/>
      <w:sz w:val="20"/>
      <w:szCs w:val="20"/>
    </w:rPr>
  </w:style>
  <w:style w:type="paragraph" w:styleId="5">
    <w:name w:val="Balloon Text"/>
    <w:basedOn w:val="1"/>
    <w:link w:val="17"/>
    <w:unhideWhenUsed/>
    <w:qFormat/>
    <w:uiPriority w:val="99"/>
    <w:rPr>
      <w:kern w:val="0"/>
      <w:sz w:val="18"/>
      <w:szCs w:val="18"/>
    </w:rPr>
  </w:style>
  <w:style w:type="paragraph" w:styleId="6">
    <w:name w:val="footer"/>
    <w:basedOn w:val="1"/>
    <w:link w:val="18"/>
    <w:unhideWhenUsed/>
    <w:qFormat/>
    <w:uiPriority w:val="99"/>
    <w:pPr>
      <w:tabs>
        <w:tab w:val="center" w:pos="4153"/>
        <w:tab w:val="right" w:pos="8306"/>
      </w:tabs>
      <w:snapToGrid w:val="0"/>
      <w:spacing w:line="240" w:lineRule="atLeast"/>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annotation subject"/>
    <w:basedOn w:val="4"/>
    <w:next w:val="4"/>
    <w:link w:val="20"/>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unhideWhenUsed/>
    <w:qFormat/>
    <w:uiPriority w:val="99"/>
    <w:rPr>
      <w:color w:val="0000FF"/>
      <w:u w:val="single"/>
    </w:rPr>
  </w:style>
  <w:style w:type="character" w:styleId="15">
    <w:name w:val="annotation reference"/>
    <w:unhideWhenUsed/>
    <w:qFormat/>
    <w:uiPriority w:val="0"/>
    <w:rPr>
      <w:sz w:val="21"/>
      <w:szCs w:val="21"/>
    </w:rPr>
  </w:style>
  <w:style w:type="character" w:customStyle="1" w:styleId="16">
    <w:name w:val="批注文字 字符"/>
    <w:link w:val="4"/>
    <w:qFormat/>
    <w:uiPriority w:val="99"/>
    <w:rPr>
      <w:rFonts w:ascii="Calibri" w:hAnsi="Calibri" w:eastAsia="宋体" w:cs="Times New Roman"/>
    </w:rPr>
  </w:style>
  <w:style w:type="character" w:customStyle="1" w:styleId="17">
    <w:name w:val="批注框文本 字符"/>
    <w:link w:val="5"/>
    <w:semiHidden/>
    <w:qFormat/>
    <w:uiPriority w:val="99"/>
    <w:rPr>
      <w:rFonts w:ascii="Calibri" w:hAnsi="Calibri" w:eastAsia="宋体" w:cs="Times New Roman"/>
      <w:sz w:val="18"/>
      <w:szCs w:val="18"/>
    </w:rPr>
  </w:style>
  <w:style w:type="character" w:customStyle="1" w:styleId="18">
    <w:name w:val="页脚 字符"/>
    <w:link w:val="6"/>
    <w:qFormat/>
    <w:uiPriority w:val="99"/>
    <w:rPr>
      <w:sz w:val="18"/>
      <w:szCs w:val="18"/>
    </w:rPr>
  </w:style>
  <w:style w:type="character" w:customStyle="1" w:styleId="19">
    <w:name w:val="页眉 字符"/>
    <w:link w:val="7"/>
    <w:qFormat/>
    <w:uiPriority w:val="99"/>
    <w:rPr>
      <w:sz w:val="18"/>
      <w:szCs w:val="18"/>
    </w:rPr>
  </w:style>
  <w:style w:type="character" w:customStyle="1" w:styleId="20">
    <w:name w:val="批注主题 字符"/>
    <w:link w:val="9"/>
    <w:semiHidden/>
    <w:qFormat/>
    <w:uiPriority w:val="99"/>
    <w:rPr>
      <w:rFonts w:ascii="Calibri" w:hAnsi="Calibri" w:eastAsia="宋体" w:cs="Times New Roman"/>
      <w:b/>
      <w:bCs/>
    </w:rPr>
  </w:style>
  <w:style w:type="paragraph" w:customStyle="1" w:styleId="21">
    <w:name w:val="列表段落1"/>
    <w:basedOn w:val="1"/>
    <w:qFormat/>
    <w:uiPriority w:val="34"/>
    <w:pPr>
      <w:ind w:firstLine="420" w:firstLineChars="200"/>
    </w:pPr>
  </w:style>
  <w:style w:type="paragraph" w:customStyle="1" w:styleId="22">
    <w:name w:val="列出段落1"/>
    <w:basedOn w:val="1"/>
    <w:qFormat/>
    <w:uiPriority w:val="0"/>
    <w:pPr>
      <w:ind w:firstLine="420" w:firstLineChars="200"/>
    </w:pPr>
  </w:style>
  <w:style w:type="paragraph" w:customStyle="1" w:styleId="23">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24">
    <w:name w:val="列出段落2"/>
    <w:basedOn w:val="1"/>
    <w:qFormat/>
    <w:uiPriority w:val="99"/>
    <w:pPr>
      <w:ind w:firstLine="420" w:firstLineChars="200"/>
    </w:pPr>
  </w:style>
  <w:style w:type="paragraph" w:customStyle="1" w:styleId="25">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szCs w:val="22"/>
      <w:lang w:val="en-US" w:eastAsia="zh-CN" w:bidi="ar-SA"/>
    </w:rPr>
  </w:style>
  <w:style w:type="character" w:customStyle="1" w:styleId="27">
    <w:name w:val="标题 1 字符"/>
    <w:basedOn w:val="12"/>
    <w:link w:val="3"/>
    <w:qFormat/>
    <w:uiPriority w:val="1"/>
    <w:rPr>
      <w:b/>
      <w:bCs/>
      <w:kern w:val="44"/>
      <w:sz w:val="44"/>
      <w:szCs w:val="44"/>
    </w:rPr>
  </w:style>
  <w:style w:type="character" w:customStyle="1" w:styleId="28">
    <w:name w:val="any"/>
    <w:basedOn w:val="12"/>
    <w:qFormat/>
    <w:uiPriority w:val="0"/>
  </w:style>
  <w:style w:type="paragraph" w:customStyle="1" w:styleId="29">
    <w:name w:val="faguicon_p"/>
    <w:basedOn w:val="1"/>
    <w:qFormat/>
    <w:uiPriority w:val="0"/>
    <w:pPr>
      <w:widowControl/>
      <w:ind w:firstLine="480"/>
      <w:jc w:val="left"/>
    </w:pPr>
    <w:rPr>
      <w:rFonts w:ascii="微软雅黑" w:hAnsi="微软雅黑" w:eastAsia="微软雅黑" w:cs="微软雅黑"/>
      <w:kern w:val="0"/>
      <w:sz w:val="24"/>
      <w:szCs w:val="24"/>
    </w:rPr>
  </w:style>
  <w:style w:type="character" w:customStyle="1" w:styleId="30">
    <w:name w:val="sect2title"/>
    <w:qFormat/>
    <w:uiPriority w:val="0"/>
    <w:rPr>
      <w:rFonts w:ascii="微软雅黑" w:hAnsi="微软雅黑" w:eastAsia="微软雅黑" w:cs="微软雅黑"/>
      <w:b/>
      <w:bCs/>
      <w:sz w:val="26"/>
      <w:szCs w:val="26"/>
    </w:rPr>
  </w:style>
  <w:style w:type="paragraph" w:customStyle="1" w:styleId="31">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32">
    <w:name w:val="标题 21"/>
    <w:basedOn w:val="1"/>
    <w:next w:val="1"/>
    <w:qFormat/>
    <w:uiPriority w:val="9"/>
    <w:pPr>
      <w:spacing w:line="360" w:lineRule="auto"/>
      <w:jc w:val="center"/>
      <w:outlineLvl w:val="1"/>
    </w:pPr>
    <w:rPr>
      <w:rFonts w:ascii="宋体" w:hAnsi="宋体" w:cs="宋体"/>
      <w:b/>
      <w:sz w:val="28"/>
      <w:szCs w:val="28"/>
    </w:rPr>
  </w:style>
  <w:style w:type="paragraph" w:customStyle="1" w:styleId="33">
    <w:name w:val="p1"/>
    <w:basedOn w:val="1"/>
    <w:qFormat/>
    <w:uiPriority w:val="0"/>
    <w:pPr>
      <w:jc w:val="left"/>
    </w:pPr>
    <w:rPr>
      <w:rFonts w:ascii="Helvetica" w:hAnsi="Helvetica" w:eastAsia="Helvetica"/>
      <w:kern w:val="0"/>
      <w:sz w:val="42"/>
      <w:szCs w:val="42"/>
    </w:rPr>
  </w:style>
  <w:style w:type="paragraph" w:customStyle="1" w:styleId="34">
    <w:name w:val="列出段落3"/>
    <w:basedOn w:val="1"/>
    <w:qFormat/>
    <w:uiPriority w:val="99"/>
    <w:pPr>
      <w:ind w:firstLine="420" w:firstLineChars="200"/>
    </w:pPr>
  </w:style>
  <w:style w:type="paragraph" w:customStyle="1" w:styleId="35">
    <w:name w:val="标题 211"/>
    <w:basedOn w:val="1"/>
    <w:next w:val="1"/>
    <w:qFormat/>
    <w:uiPriority w:val="9"/>
    <w:pPr>
      <w:spacing w:line="360" w:lineRule="auto"/>
      <w:jc w:val="center"/>
      <w:outlineLvl w:val="1"/>
    </w:pPr>
    <w:rPr>
      <w:rFonts w:ascii="宋体" w:hAnsi="宋体" w:cs="宋体"/>
      <w:b/>
      <w:sz w:val="28"/>
      <w:szCs w:val="28"/>
    </w:rPr>
  </w:style>
  <w:style w:type="paragraph" w:customStyle="1" w:styleId="36">
    <w:name w:val="List Paragraph"/>
    <w:basedOn w:val="1"/>
    <w:qFormat/>
    <w:uiPriority w:val="99"/>
    <w:pPr>
      <w:ind w:firstLine="420" w:firstLineChars="200"/>
    </w:pPr>
  </w:style>
  <w:style w:type="paragraph" w:customStyle="1" w:styleId="37">
    <w:name w:val="Heading 3"/>
    <w:basedOn w:val="1"/>
    <w:next w:val="1"/>
    <w:unhideWhenUsed/>
    <w:qFormat/>
    <w:uiPriority w:val="9"/>
    <w:pPr>
      <w:tabs>
        <w:tab w:val="left" w:pos="420"/>
        <w:tab w:val="left" w:pos="720"/>
      </w:tabs>
      <w:spacing w:line="360" w:lineRule="auto"/>
      <w:ind w:firstLine="422" w:firstLineChars="200"/>
      <w:outlineLvl w:val="2"/>
    </w:pPr>
    <w:rPr>
      <w:rFonts w:ascii="宋体" w:hAnsi="宋体" w:cs="宋体"/>
      <w:b/>
      <w:bCs/>
      <w:snapToGrid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31506</Words>
  <Characters>32424</Characters>
  <Lines>230</Lines>
  <Paragraphs>64</Paragraphs>
  <TotalTime>4</TotalTime>
  <ScaleCrop>false</ScaleCrop>
  <LinksUpToDate>false</LinksUpToDate>
  <CharactersWithSpaces>32435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2021-06-26T10:15:00Z</dcterms:created>
  <dc:creator>user</dc:creator>
  <cp:lastModifiedBy>宫向一</cp:lastModifiedBy>
  <cp:lastPrinted>2021-06-11T20:27:00Z</cp:lastPrinted>
  <dcterms:modified xsi:type="dcterms:W3CDTF">2025-06-23T07:09:21Z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BFD404933F64470592DE087FC48C62F2_13</vt:lpwstr>
  </property>
</Properties>
</file>